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048" w:rsidRDefault="00BA2048" w:rsidP="002D5EB6">
      <w:pPr>
        <w:jc w:val="center"/>
        <w:rPr>
          <w:rFonts w:ascii="Times New Roman" w:hAnsi="Times New Roman" w:cs="Times New Roman"/>
          <w:b/>
          <w:sz w:val="32"/>
          <w:szCs w:val="32"/>
        </w:rPr>
      </w:pPr>
    </w:p>
    <w:p w:rsidR="00951AD8" w:rsidRPr="00951AD8" w:rsidRDefault="00951AD8" w:rsidP="00951AD8">
      <w:pPr>
        <w:tabs>
          <w:tab w:val="left" w:pos="2817"/>
        </w:tabs>
        <w:spacing w:after="200" w:line="276" w:lineRule="auto"/>
        <w:jc w:val="center"/>
        <w:rPr>
          <w:rFonts w:ascii="Arial" w:eastAsia="Calibri" w:hAnsi="Arial" w:cs="Arial"/>
          <w:b/>
          <w:sz w:val="28"/>
          <w:szCs w:val="28"/>
        </w:rPr>
      </w:pPr>
    </w:p>
    <w:p w:rsidR="00951AD8" w:rsidRPr="00951AD8" w:rsidRDefault="00951AD8" w:rsidP="00951AD8">
      <w:pPr>
        <w:spacing w:after="200" w:line="276" w:lineRule="auto"/>
        <w:jc w:val="both"/>
        <w:rPr>
          <w:rFonts w:ascii="Arial" w:eastAsia="Calibri" w:hAnsi="Arial" w:cs="Arial"/>
          <w:b/>
          <w:sz w:val="28"/>
          <w:szCs w:val="28"/>
        </w:rPr>
      </w:pPr>
      <w:r w:rsidRPr="00951AD8">
        <w:rPr>
          <w:rFonts w:ascii="Arial" w:eastAsia="Times New Roman" w:hAnsi="Arial" w:cs="Arial"/>
          <w:b/>
          <w:noProof/>
          <w:sz w:val="28"/>
          <w:szCs w:val="28"/>
          <w:lang w:eastAsia="hr-HR"/>
        </w:rPr>
        <w:drawing>
          <wp:inline distT="0" distB="0" distL="0" distR="0" wp14:anchorId="31036215" wp14:editId="69D69F29">
            <wp:extent cx="1497965" cy="668020"/>
            <wp:effectExtent l="0" t="0" r="698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7965" cy="668020"/>
                    </a:xfrm>
                    <a:prstGeom prst="rect">
                      <a:avLst/>
                    </a:prstGeom>
                    <a:noFill/>
                    <a:ln>
                      <a:noFill/>
                    </a:ln>
                  </pic:spPr>
                </pic:pic>
              </a:graphicData>
            </a:graphic>
          </wp:inline>
        </w:drawing>
      </w:r>
    </w:p>
    <w:p w:rsidR="00951AD8" w:rsidRPr="00951AD8" w:rsidRDefault="00951AD8" w:rsidP="00951AD8">
      <w:pPr>
        <w:spacing w:after="200" w:line="276" w:lineRule="auto"/>
        <w:jc w:val="center"/>
        <w:rPr>
          <w:rFonts w:ascii="Arial" w:eastAsia="Calibri" w:hAnsi="Arial" w:cs="Arial"/>
          <w:b/>
          <w:sz w:val="28"/>
          <w:szCs w:val="28"/>
        </w:rPr>
      </w:pPr>
    </w:p>
    <w:p w:rsidR="00951AD8" w:rsidRPr="00951AD8" w:rsidRDefault="00951AD8" w:rsidP="00951AD8">
      <w:pPr>
        <w:spacing w:after="200" w:line="276" w:lineRule="auto"/>
        <w:jc w:val="center"/>
        <w:rPr>
          <w:rFonts w:ascii="Arial" w:eastAsia="Calibri" w:hAnsi="Arial" w:cs="Arial"/>
          <w:b/>
          <w:sz w:val="28"/>
          <w:szCs w:val="28"/>
        </w:rPr>
      </w:pPr>
    </w:p>
    <w:p w:rsidR="00951AD8" w:rsidRPr="00951AD8" w:rsidRDefault="00951AD8" w:rsidP="00951AD8">
      <w:pPr>
        <w:spacing w:after="200" w:line="276" w:lineRule="auto"/>
        <w:jc w:val="center"/>
        <w:rPr>
          <w:rFonts w:ascii="Arial" w:eastAsia="Calibri" w:hAnsi="Arial" w:cs="Arial"/>
          <w:b/>
          <w:sz w:val="28"/>
          <w:szCs w:val="28"/>
        </w:rPr>
      </w:pPr>
    </w:p>
    <w:p w:rsidR="00951AD8" w:rsidRPr="00951AD8" w:rsidRDefault="00951AD8" w:rsidP="00951AD8">
      <w:pPr>
        <w:spacing w:after="200" w:line="276" w:lineRule="auto"/>
        <w:jc w:val="center"/>
        <w:rPr>
          <w:rFonts w:ascii="Arial" w:eastAsia="Calibri" w:hAnsi="Arial" w:cs="Arial"/>
          <w:b/>
          <w:sz w:val="48"/>
          <w:szCs w:val="48"/>
        </w:rPr>
      </w:pPr>
      <w:r w:rsidRPr="00951AD8">
        <w:rPr>
          <w:rFonts w:ascii="Arial" w:eastAsia="Calibri" w:hAnsi="Arial" w:cs="Arial"/>
          <w:b/>
          <w:sz w:val="48"/>
          <w:szCs w:val="48"/>
        </w:rPr>
        <w:t>PREDSTEČAJNI POSTUPAK</w:t>
      </w:r>
    </w:p>
    <w:p w:rsidR="00951AD8" w:rsidRPr="00951AD8" w:rsidRDefault="00951AD8" w:rsidP="00951AD8">
      <w:pPr>
        <w:spacing w:after="200" w:line="276" w:lineRule="auto"/>
        <w:jc w:val="center"/>
        <w:rPr>
          <w:rFonts w:ascii="Arial" w:eastAsia="Calibri" w:hAnsi="Arial" w:cs="Arial"/>
          <w:b/>
          <w:sz w:val="48"/>
          <w:szCs w:val="48"/>
        </w:rPr>
      </w:pPr>
    </w:p>
    <w:p w:rsidR="00951AD8" w:rsidRPr="00951AD8" w:rsidRDefault="00951AD8" w:rsidP="00951AD8">
      <w:pPr>
        <w:spacing w:after="200" w:line="240" w:lineRule="auto"/>
        <w:jc w:val="center"/>
        <w:rPr>
          <w:rFonts w:ascii="Arial" w:eastAsia="Calibri" w:hAnsi="Arial" w:cs="Arial"/>
          <w:b/>
          <w:sz w:val="28"/>
          <w:szCs w:val="28"/>
        </w:rPr>
      </w:pPr>
    </w:p>
    <w:p w:rsidR="00951AD8" w:rsidRPr="00951AD8" w:rsidRDefault="00951AD8" w:rsidP="00951AD8">
      <w:pPr>
        <w:spacing w:after="200" w:line="240" w:lineRule="auto"/>
        <w:jc w:val="center"/>
        <w:rPr>
          <w:rFonts w:ascii="Arial" w:eastAsia="Calibri" w:hAnsi="Arial" w:cs="Arial"/>
          <w:b/>
          <w:sz w:val="28"/>
          <w:szCs w:val="28"/>
        </w:rPr>
      </w:pPr>
    </w:p>
    <w:p w:rsidR="00951AD8" w:rsidRPr="00951AD8" w:rsidRDefault="00951AD8" w:rsidP="00951AD8">
      <w:pPr>
        <w:spacing w:after="200" w:line="240" w:lineRule="auto"/>
        <w:jc w:val="center"/>
        <w:rPr>
          <w:rFonts w:ascii="Arial" w:eastAsia="Calibri" w:hAnsi="Arial" w:cs="Arial"/>
          <w:b/>
          <w:sz w:val="28"/>
          <w:szCs w:val="28"/>
        </w:rPr>
      </w:pPr>
      <w:r w:rsidRPr="00951AD8">
        <w:rPr>
          <w:rFonts w:ascii="Arial" w:eastAsia="Calibri" w:hAnsi="Arial" w:cs="Arial"/>
          <w:b/>
          <w:sz w:val="28"/>
          <w:szCs w:val="28"/>
        </w:rPr>
        <w:t>Priručnik za polaznike/ice</w:t>
      </w:r>
    </w:p>
    <w:p w:rsidR="00951AD8" w:rsidRPr="00951AD8" w:rsidRDefault="00951AD8" w:rsidP="00951AD8">
      <w:pPr>
        <w:tabs>
          <w:tab w:val="center" w:pos="4320"/>
          <w:tab w:val="left" w:pos="6724"/>
        </w:tabs>
        <w:spacing w:after="200" w:line="240" w:lineRule="auto"/>
        <w:jc w:val="center"/>
        <w:rPr>
          <w:rFonts w:ascii="Arial" w:eastAsia="Calibri" w:hAnsi="Arial" w:cs="Arial"/>
          <w:b/>
          <w:sz w:val="28"/>
          <w:szCs w:val="28"/>
        </w:rPr>
      </w:pPr>
      <w:r w:rsidRPr="00951AD8">
        <w:rPr>
          <w:rFonts w:ascii="Arial" w:eastAsia="Calibri" w:hAnsi="Arial" w:cs="Arial"/>
          <w:b/>
          <w:sz w:val="28"/>
          <w:szCs w:val="28"/>
        </w:rPr>
        <w:t>Izrada obrazovnog materijala:</w:t>
      </w:r>
    </w:p>
    <w:p w:rsidR="00951AD8" w:rsidRPr="00951AD8" w:rsidRDefault="00951AD8" w:rsidP="00951AD8">
      <w:pPr>
        <w:tabs>
          <w:tab w:val="center" w:pos="4320"/>
          <w:tab w:val="left" w:pos="6724"/>
        </w:tabs>
        <w:spacing w:after="200" w:line="240" w:lineRule="auto"/>
        <w:jc w:val="center"/>
        <w:rPr>
          <w:rFonts w:ascii="Arial" w:eastAsia="Calibri" w:hAnsi="Arial" w:cs="Arial"/>
          <w:sz w:val="24"/>
          <w:szCs w:val="24"/>
        </w:rPr>
      </w:pPr>
    </w:p>
    <w:p w:rsidR="00951AD8" w:rsidRPr="00951AD8" w:rsidRDefault="00951AD8" w:rsidP="00951AD8">
      <w:pPr>
        <w:tabs>
          <w:tab w:val="center" w:pos="4320"/>
          <w:tab w:val="left" w:pos="6724"/>
        </w:tabs>
        <w:spacing w:after="200" w:line="240" w:lineRule="auto"/>
        <w:jc w:val="center"/>
        <w:rPr>
          <w:rFonts w:ascii="Arial" w:eastAsia="Calibri" w:hAnsi="Arial" w:cs="Arial"/>
          <w:sz w:val="24"/>
          <w:szCs w:val="24"/>
        </w:rPr>
      </w:pPr>
      <w:r w:rsidRPr="00951AD8">
        <w:rPr>
          <w:rFonts w:ascii="Arial" w:eastAsia="Calibri" w:hAnsi="Arial" w:cs="Arial"/>
          <w:sz w:val="24"/>
          <w:szCs w:val="24"/>
        </w:rPr>
        <w:t>Željko Šimić</w:t>
      </w:r>
      <w:r w:rsidRPr="00951AD8">
        <w:rPr>
          <w:rFonts w:ascii="Arial" w:eastAsia="Calibri" w:hAnsi="Arial" w:cs="Arial"/>
          <w:sz w:val="24"/>
          <w:szCs w:val="24"/>
        </w:rPr>
        <w:br/>
        <w:t>Visoki trgovački sud Republike Hrvatske</w:t>
      </w:r>
    </w:p>
    <w:p w:rsidR="00951AD8" w:rsidRPr="00951AD8" w:rsidRDefault="00951AD8" w:rsidP="00951AD8">
      <w:pPr>
        <w:tabs>
          <w:tab w:val="center" w:pos="4320"/>
          <w:tab w:val="left" w:pos="6724"/>
        </w:tabs>
        <w:spacing w:after="200" w:line="240" w:lineRule="auto"/>
        <w:jc w:val="center"/>
        <w:rPr>
          <w:rFonts w:ascii="Arial" w:eastAsia="Calibri" w:hAnsi="Arial" w:cs="Arial"/>
          <w:sz w:val="24"/>
          <w:szCs w:val="24"/>
        </w:rPr>
      </w:pPr>
    </w:p>
    <w:p w:rsidR="00951AD8" w:rsidRPr="00951AD8" w:rsidRDefault="00951AD8" w:rsidP="00951AD8">
      <w:pPr>
        <w:tabs>
          <w:tab w:val="center" w:pos="4320"/>
          <w:tab w:val="left" w:pos="6724"/>
        </w:tabs>
        <w:spacing w:after="200" w:line="240" w:lineRule="auto"/>
        <w:jc w:val="center"/>
        <w:rPr>
          <w:rFonts w:ascii="Arial" w:eastAsia="Calibri" w:hAnsi="Arial" w:cs="Arial"/>
          <w:sz w:val="24"/>
          <w:szCs w:val="24"/>
        </w:rPr>
      </w:pPr>
      <w:r w:rsidRPr="00951AD8">
        <w:rPr>
          <w:rFonts w:ascii="Arial" w:eastAsia="Calibri" w:hAnsi="Arial" w:cs="Arial"/>
          <w:sz w:val="24"/>
          <w:szCs w:val="24"/>
        </w:rPr>
        <w:t>Ivica Omazić</w:t>
      </w:r>
      <w:r w:rsidRPr="00951AD8">
        <w:rPr>
          <w:rFonts w:ascii="Arial" w:eastAsia="Calibri" w:hAnsi="Arial" w:cs="Arial"/>
          <w:sz w:val="24"/>
          <w:szCs w:val="24"/>
        </w:rPr>
        <w:br/>
        <w:t>Visoki trgovački sud Republike Hrvatske</w:t>
      </w:r>
    </w:p>
    <w:p w:rsidR="00951AD8" w:rsidRPr="00951AD8" w:rsidRDefault="00951AD8" w:rsidP="00951AD8">
      <w:pPr>
        <w:tabs>
          <w:tab w:val="center" w:pos="4320"/>
          <w:tab w:val="left" w:pos="6724"/>
        </w:tabs>
        <w:spacing w:after="200" w:line="240" w:lineRule="auto"/>
        <w:jc w:val="center"/>
        <w:rPr>
          <w:rFonts w:ascii="Arial" w:eastAsia="Calibri" w:hAnsi="Arial" w:cs="Arial"/>
          <w:sz w:val="24"/>
          <w:szCs w:val="24"/>
        </w:rPr>
      </w:pPr>
    </w:p>
    <w:p w:rsidR="00951AD8" w:rsidRPr="00951AD8" w:rsidRDefault="00951AD8" w:rsidP="00951AD8">
      <w:pPr>
        <w:spacing w:after="200" w:line="240" w:lineRule="auto"/>
        <w:jc w:val="center"/>
        <w:rPr>
          <w:rFonts w:ascii="Calibri" w:eastAsia="Calibri" w:hAnsi="Calibri" w:cs="Times New Roman"/>
          <w:color w:val="1F497D"/>
        </w:rPr>
      </w:pPr>
    </w:p>
    <w:p w:rsidR="00951AD8" w:rsidRPr="00951AD8" w:rsidRDefault="00951AD8" w:rsidP="00951AD8">
      <w:pPr>
        <w:spacing w:after="200" w:line="240" w:lineRule="auto"/>
        <w:jc w:val="center"/>
        <w:rPr>
          <w:rFonts w:ascii="Calibri" w:eastAsia="Calibri" w:hAnsi="Calibri" w:cs="Times New Roman"/>
          <w:color w:val="1F497D"/>
        </w:rPr>
      </w:pPr>
    </w:p>
    <w:p w:rsidR="00951AD8" w:rsidRPr="00951AD8" w:rsidRDefault="00951AD8" w:rsidP="00951AD8">
      <w:pPr>
        <w:spacing w:after="200" w:line="240" w:lineRule="auto"/>
        <w:jc w:val="center"/>
        <w:rPr>
          <w:rFonts w:ascii="Calibri" w:eastAsia="Calibri" w:hAnsi="Calibri" w:cs="Times New Roman"/>
          <w:color w:val="1F497D"/>
        </w:rPr>
      </w:pPr>
    </w:p>
    <w:p w:rsidR="00951AD8" w:rsidRPr="00951AD8" w:rsidRDefault="00951AD8" w:rsidP="00951AD8">
      <w:pPr>
        <w:spacing w:after="200" w:line="240" w:lineRule="auto"/>
        <w:jc w:val="center"/>
        <w:rPr>
          <w:rFonts w:ascii="Calibri" w:eastAsia="Calibri" w:hAnsi="Calibri" w:cs="Times New Roman"/>
          <w:color w:val="1F497D"/>
        </w:rPr>
      </w:pPr>
    </w:p>
    <w:p w:rsidR="00951AD8" w:rsidRPr="00951AD8" w:rsidRDefault="00951AD8" w:rsidP="00951AD8">
      <w:pPr>
        <w:spacing w:after="200" w:line="240" w:lineRule="auto"/>
        <w:jc w:val="center"/>
        <w:rPr>
          <w:rFonts w:ascii="Calibri" w:eastAsia="Calibri" w:hAnsi="Calibri" w:cs="Times New Roman"/>
          <w:color w:val="1F497D"/>
        </w:rPr>
      </w:pPr>
    </w:p>
    <w:p w:rsidR="00951AD8" w:rsidRPr="00951AD8" w:rsidRDefault="00951AD8" w:rsidP="00951AD8">
      <w:pPr>
        <w:spacing w:after="200" w:line="240" w:lineRule="auto"/>
        <w:jc w:val="center"/>
        <w:rPr>
          <w:rFonts w:ascii="Calibri" w:eastAsia="Calibri" w:hAnsi="Calibri" w:cs="Times New Roman"/>
          <w:color w:val="1F497D"/>
        </w:rPr>
      </w:pPr>
    </w:p>
    <w:p w:rsidR="00951AD8" w:rsidRPr="00951AD8" w:rsidRDefault="00951AD8" w:rsidP="00951AD8">
      <w:pPr>
        <w:spacing w:after="200" w:line="240" w:lineRule="auto"/>
        <w:jc w:val="center"/>
        <w:rPr>
          <w:rFonts w:ascii="Arial" w:eastAsia="Calibri" w:hAnsi="Arial" w:cs="Arial"/>
          <w:b/>
          <w:color w:val="000000"/>
          <w:sz w:val="24"/>
          <w:szCs w:val="24"/>
        </w:rPr>
      </w:pPr>
      <w:r w:rsidRPr="00951AD8">
        <w:rPr>
          <w:rFonts w:ascii="Arial" w:eastAsia="Calibri" w:hAnsi="Arial" w:cs="Arial"/>
          <w:color w:val="000000"/>
          <w:sz w:val="24"/>
          <w:szCs w:val="24"/>
        </w:rPr>
        <w:t xml:space="preserve">Zagreb, </w:t>
      </w:r>
      <w:r>
        <w:rPr>
          <w:rFonts w:ascii="Arial" w:eastAsia="Calibri" w:hAnsi="Arial" w:cs="Arial"/>
          <w:color w:val="000000"/>
          <w:sz w:val="24"/>
          <w:szCs w:val="24"/>
        </w:rPr>
        <w:t>veljača 2018</w:t>
      </w:r>
      <w:r w:rsidRPr="00951AD8">
        <w:rPr>
          <w:rFonts w:ascii="Arial" w:eastAsia="Calibri" w:hAnsi="Arial" w:cs="Arial"/>
          <w:color w:val="000000"/>
          <w:sz w:val="24"/>
          <w:szCs w:val="24"/>
        </w:rPr>
        <w:t>.</w:t>
      </w:r>
    </w:p>
    <w:p w:rsidR="00951AD8" w:rsidRPr="00951AD8" w:rsidRDefault="00951AD8" w:rsidP="00951AD8">
      <w:pPr>
        <w:spacing w:after="0" w:line="240" w:lineRule="auto"/>
        <w:jc w:val="center"/>
        <w:rPr>
          <w:rFonts w:ascii="Arial" w:eastAsia="Times New Roman" w:hAnsi="Arial" w:cs="Times New Roman"/>
          <w:b/>
          <w:sz w:val="24"/>
          <w:szCs w:val="24"/>
        </w:rPr>
      </w:pPr>
    </w:p>
    <w:p w:rsidR="00951AD8" w:rsidRPr="00951AD8" w:rsidRDefault="00951AD8" w:rsidP="00951AD8">
      <w:pPr>
        <w:spacing w:after="200" w:line="240" w:lineRule="auto"/>
        <w:jc w:val="center"/>
        <w:rPr>
          <w:rFonts w:ascii="Arial" w:eastAsia="Calibri" w:hAnsi="Arial" w:cs="Arial"/>
          <w:b/>
          <w:sz w:val="28"/>
          <w:szCs w:val="28"/>
        </w:rPr>
      </w:pPr>
    </w:p>
    <w:p w:rsidR="00951AD8" w:rsidRPr="00951AD8" w:rsidRDefault="00951AD8" w:rsidP="00951AD8">
      <w:pPr>
        <w:spacing w:after="200" w:line="240" w:lineRule="auto"/>
        <w:jc w:val="both"/>
        <w:rPr>
          <w:rFonts w:ascii="Arial" w:eastAsia="Times New Roman" w:hAnsi="Arial" w:cs="Arial"/>
          <w:sz w:val="24"/>
          <w:szCs w:val="24"/>
          <w:lang w:eastAsia="hr-HR"/>
        </w:rPr>
      </w:pPr>
    </w:p>
    <w:p w:rsidR="00951AD8" w:rsidRPr="00951AD8" w:rsidRDefault="00951AD8" w:rsidP="00951AD8">
      <w:pPr>
        <w:spacing w:after="200" w:line="240" w:lineRule="auto"/>
        <w:jc w:val="both"/>
        <w:rPr>
          <w:rFonts w:ascii="Arial" w:eastAsia="Times New Roman" w:hAnsi="Arial" w:cs="Arial"/>
          <w:sz w:val="24"/>
          <w:szCs w:val="24"/>
          <w:lang w:eastAsia="hr-HR"/>
        </w:rPr>
      </w:pPr>
    </w:p>
    <w:p w:rsidR="00951AD8" w:rsidRPr="00951AD8" w:rsidRDefault="00951AD8" w:rsidP="00951AD8">
      <w:pPr>
        <w:spacing w:after="200" w:line="240" w:lineRule="auto"/>
        <w:jc w:val="both"/>
        <w:rPr>
          <w:rFonts w:ascii="Arial" w:eastAsia="Times New Roman" w:hAnsi="Arial" w:cs="Arial"/>
          <w:sz w:val="24"/>
          <w:szCs w:val="24"/>
          <w:lang w:eastAsia="hr-HR"/>
        </w:rPr>
      </w:pPr>
    </w:p>
    <w:p w:rsidR="00951AD8" w:rsidRPr="00951AD8" w:rsidRDefault="00951AD8" w:rsidP="00951AD8">
      <w:pPr>
        <w:spacing w:after="200" w:line="240" w:lineRule="auto"/>
        <w:jc w:val="both"/>
        <w:rPr>
          <w:rFonts w:ascii="Arial" w:eastAsia="Times New Roman" w:hAnsi="Arial" w:cs="Arial"/>
          <w:sz w:val="24"/>
          <w:szCs w:val="24"/>
          <w:lang w:eastAsia="hr-HR"/>
        </w:rPr>
      </w:pPr>
    </w:p>
    <w:p w:rsidR="00951AD8" w:rsidRPr="00951AD8" w:rsidRDefault="00951AD8" w:rsidP="00951AD8">
      <w:pPr>
        <w:spacing w:after="200" w:line="240" w:lineRule="auto"/>
        <w:jc w:val="both"/>
        <w:rPr>
          <w:rFonts w:ascii="Arial" w:eastAsia="Times New Roman" w:hAnsi="Arial" w:cs="Arial"/>
          <w:sz w:val="24"/>
          <w:szCs w:val="24"/>
          <w:lang w:eastAsia="hr-HR"/>
        </w:rPr>
      </w:pPr>
    </w:p>
    <w:p w:rsidR="00951AD8" w:rsidRPr="00951AD8" w:rsidRDefault="00951AD8" w:rsidP="00951AD8">
      <w:pPr>
        <w:spacing w:after="200" w:line="240" w:lineRule="auto"/>
        <w:jc w:val="both"/>
        <w:rPr>
          <w:rFonts w:ascii="Arial" w:eastAsia="Times New Roman" w:hAnsi="Arial" w:cs="Arial"/>
          <w:sz w:val="24"/>
          <w:szCs w:val="24"/>
          <w:lang w:eastAsia="hr-HR"/>
        </w:rPr>
      </w:pPr>
    </w:p>
    <w:p w:rsidR="00951AD8" w:rsidRPr="00951AD8" w:rsidRDefault="00951AD8" w:rsidP="00951AD8">
      <w:pPr>
        <w:spacing w:after="200" w:line="240" w:lineRule="auto"/>
        <w:jc w:val="both"/>
        <w:rPr>
          <w:rFonts w:ascii="Arial" w:eastAsia="Times New Roman" w:hAnsi="Arial" w:cs="Arial"/>
          <w:sz w:val="24"/>
          <w:szCs w:val="24"/>
          <w:lang w:eastAsia="hr-HR"/>
        </w:rPr>
      </w:pPr>
    </w:p>
    <w:p w:rsidR="00951AD8" w:rsidRPr="00951AD8" w:rsidRDefault="00951AD8" w:rsidP="00951AD8">
      <w:pPr>
        <w:spacing w:after="200" w:line="240" w:lineRule="auto"/>
        <w:jc w:val="both"/>
        <w:rPr>
          <w:rFonts w:ascii="Arial" w:eastAsia="Times New Roman" w:hAnsi="Arial" w:cs="Arial"/>
          <w:sz w:val="24"/>
          <w:szCs w:val="24"/>
          <w:lang w:eastAsia="hr-HR"/>
        </w:rPr>
      </w:pPr>
    </w:p>
    <w:p w:rsidR="00951AD8" w:rsidRPr="00951AD8" w:rsidRDefault="00951AD8" w:rsidP="00951AD8">
      <w:pPr>
        <w:spacing w:after="200" w:line="240" w:lineRule="auto"/>
        <w:jc w:val="both"/>
        <w:rPr>
          <w:rFonts w:ascii="Arial" w:eastAsia="Times New Roman" w:hAnsi="Arial" w:cs="Arial"/>
          <w:sz w:val="24"/>
          <w:szCs w:val="24"/>
          <w:lang w:eastAsia="hr-HR"/>
        </w:rPr>
      </w:pPr>
    </w:p>
    <w:p w:rsidR="00951AD8" w:rsidRPr="00951AD8" w:rsidRDefault="00951AD8" w:rsidP="00951AD8">
      <w:pPr>
        <w:spacing w:after="200" w:line="240" w:lineRule="auto"/>
        <w:jc w:val="both"/>
        <w:rPr>
          <w:rFonts w:ascii="Arial" w:eastAsia="Times New Roman" w:hAnsi="Arial" w:cs="Arial"/>
          <w:sz w:val="24"/>
          <w:szCs w:val="24"/>
          <w:lang w:eastAsia="hr-HR"/>
        </w:rPr>
      </w:pPr>
    </w:p>
    <w:p w:rsidR="00951AD8" w:rsidRPr="00951AD8" w:rsidRDefault="00951AD8" w:rsidP="00951AD8">
      <w:pPr>
        <w:spacing w:after="200" w:line="240" w:lineRule="auto"/>
        <w:jc w:val="both"/>
        <w:rPr>
          <w:rFonts w:ascii="Arial" w:eastAsia="Times New Roman" w:hAnsi="Arial" w:cs="Arial"/>
          <w:sz w:val="24"/>
          <w:szCs w:val="24"/>
          <w:lang w:eastAsia="hr-HR"/>
        </w:rPr>
      </w:pPr>
    </w:p>
    <w:p w:rsidR="00951AD8" w:rsidRPr="00951AD8" w:rsidRDefault="00951AD8" w:rsidP="00951AD8">
      <w:pPr>
        <w:spacing w:after="200" w:line="240" w:lineRule="auto"/>
        <w:jc w:val="both"/>
        <w:rPr>
          <w:rFonts w:ascii="Arial" w:eastAsia="Times New Roman" w:hAnsi="Arial" w:cs="Arial"/>
          <w:sz w:val="24"/>
          <w:szCs w:val="24"/>
          <w:lang w:eastAsia="hr-HR"/>
        </w:rPr>
      </w:pPr>
    </w:p>
    <w:p w:rsidR="00951AD8" w:rsidRPr="00951AD8" w:rsidRDefault="00951AD8" w:rsidP="00951AD8">
      <w:pPr>
        <w:spacing w:after="200" w:line="240" w:lineRule="auto"/>
        <w:jc w:val="both"/>
        <w:rPr>
          <w:rFonts w:ascii="Arial" w:eastAsia="Times New Roman" w:hAnsi="Arial" w:cs="Arial"/>
          <w:sz w:val="24"/>
          <w:szCs w:val="24"/>
          <w:lang w:eastAsia="hr-HR"/>
        </w:rPr>
      </w:pPr>
    </w:p>
    <w:p w:rsidR="00951AD8" w:rsidRPr="00951AD8" w:rsidRDefault="00951AD8" w:rsidP="00951AD8">
      <w:pPr>
        <w:spacing w:after="200" w:line="240" w:lineRule="auto"/>
        <w:jc w:val="both"/>
        <w:rPr>
          <w:rFonts w:ascii="Arial" w:eastAsia="Times New Roman" w:hAnsi="Arial" w:cs="Arial"/>
          <w:sz w:val="24"/>
          <w:szCs w:val="24"/>
          <w:lang w:eastAsia="hr-HR"/>
        </w:rPr>
      </w:pPr>
    </w:p>
    <w:p w:rsidR="00951AD8" w:rsidRPr="00951AD8" w:rsidRDefault="00951AD8" w:rsidP="00951AD8">
      <w:pPr>
        <w:spacing w:after="200" w:line="240" w:lineRule="auto"/>
        <w:jc w:val="both"/>
        <w:rPr>
          <w:rFonts w:ascii="Arial" w:eastAsia="Times New Roman" w:hAnsi="Arial" w:cs="Arial"/>
          <w:sz w:val="24"/>
          <w:szCs w:val="24"/>
          <w:lang w:eastAsia="hr-HR"/>
        </w:rPr>
      </w:pPr>
    </w:p>
    <w:p w:rsidR="00951AD8" w:rsidRPr="00951AD8" w:rsidRDefault="00951AD8" w:rsidP="00951AD8">
      <w:pPr>
        <w:spacing w:after="200" w:line="240" w:lineRule="auto"/>
        <w:jc w:val="both"/>
        <w:rPr>
          <w:rFonts w:ascii="Arial" w:eastAsia="Times New Roman" w:hAnsi="Arial" w:cs="Arial"/>
          <w:sz w:val="24"/>
          <w:szCs w:val="24"/>
          <w:lang w:eastAsia="hr-HR"/>
        </w:rPr>
      </w:pPr>
    </w:p>
    <w:p w:rsidR="00951AD8" w:rsidRPr="00951AD8" w:rsidRDefault="00951AD8" w:rsidP="00951AD8">
      <w:pPr>
        <w:spacing w:after="200" w:line="240" w:lineRule="auto"/>
        <w:jc w:val="both"/>
        <w:rPr>
          <w:rFonts w:ascii="Arial" w:eastAsia="Times New Roman" w:hAnsi="Arial" w:cs="Arial"/>
          <w:sz w:val="24"/>
          <w:szCs w:val="24"/>
          <w:lang w:eastAsia="hr-HR"/>
        </w:rPr>
      </w:pPr>
    </w:p>
    <w:p w:rsidR="00951AD8" w:rsidRPr="00951AD8" w:rsidRDefault="00951AD8" w:rsidP="00951AD8">
      <w:pPr>
        <w:spacing w:after="200" w:line="240" w:lineRule="auto"/>
        <w:jc w:val="center"/>
        <w:rPr>
          <w:rFonts w:ascii="Arial" w:eastAsia="Calibri" w:hAnsi="Arial" w:cs="Arial"/>
          <w:sz w:val="24"/>
          <w:lang w:val="en-GB"/>
        </w:rPr>
      </w:pPr>
      <w:proofErr w:type="gramStart"/>
      <w:r w:rsidRPr="00951AD8">
        <w:rPr>
          <w:rFonts w:ascii="Arial" w:eastAsia="Calibri" w:hAnsi="Arial" w:cs="Arial"/>
          <w:sz w:val="24"/>
          <w:lang w:val="en-GB"/>
        </w:rPr>
        <w:t>Copyright 2017.</w:t>
      </w:r>
      <w:proofErr w:type="gramEnd"/>
    </w:p>
    <w:p w:rsidR="00951AD8" w:rsidRPr="00951AD8" w:rsidRDefault="00951AD8" w:rsidP="00951AD8">
      <w:pPr>
        <w:spacing w:after="200" w:line="240" w:lineRule="auto"/>
        <w:jc w:val="center"/>
        <w:rPr>
          <w:rFonts w:ascii="Arial" w:eastAsia="Calibri" w:hAnsi="Arial" w:cs="Arial"/>
          <w:sz w:val="24"/>
          <w:lang w:val="en-GB"/>
        </w:rPr>
      </w:pPr>
      <w:proofErr w:type="spellStart"/>
      <w:r w:rsidRPr="00951AD8">
        <w:rPr>
          <w:rFonts w:ascii="Arial" w:eastAsia="Calibri" w:hAnsi="Arial" w:cs="Arial"/>
          <w:sz w:val="24"/>
          <w:lang w:val="en-GB"/>
        </w:rPr>
        <w:t>Pravosudna</w:t>
      </w:r>
      <w:proofErr w:type="spellEnd"/>
      <w:r w:rsidRPr="00951AD8">
        <w:rPr>
          <w:rFonts w:ascii="Arial" w:eastAsia="Calibri" w:hAnsi="Arial" w:cs="Arial"/>
          <w:sz w:val="24"/>
          <w:lang w:val="en-GB"/>
        </w:rPr>
        <w:t xml:space="preserve"> </w:t>
      </w:r>
      <w:proofErr w:type="spellStart"/>
      <w:r w:rsidRPr="00951AD8">
        <w:rPr>
          <w:rFonts w:ascii="Arial" w:eastAsia="Calibri" w:hAnsi="Arial" w:cs="Arial"/>
          <w:sz w:val="24"/>
          <w:lang w:val="en-GB"/>
        </w:rPr>
        <w:t>akademija</w:t>
      </w:r>
      <w:proofErr w:type="spellEnd"/>
    </w:p>
    <w:p w:rsidR="00951AD8" w:rsidRPr="00951AD8" w:rsidRDefault="00951AD8" w:rsidP="00951AD8">
      <w:pPr>
        <w:spacing w:after="200" w:line="240" w:lineRule="auto"/>
        <w:ind w:firstLine="540"/>
        <w:jc w:val="center"/>
        <w:rPr>
          <w:rFonts w:ascii="Arial" w:eastAsia="Calibri" w:hAnsi="Arial" w:cs="Arial"/>
          <w:sz w:val="24"/>
          <w:lang w:val="en-GB"/>
        </w:rPr>
      </w:pPr>
    </w:p>
    <w:p w:rsidR="00951AD8" w:rsidRPr="00951AD8" w:rsidRDefault="00951AD8" w:rsidP="00951AD8">
      <w:pPr>
        <w:spacing w:after="200" w:line="240" w:lineRule="auto"/>
        <w:ind w:firstLine="540"/>
        <w:jc w:val="center"/>
        <w:rPr>
          <w:rFonts w:ascii="Arial" w:eastAsia="Calibri" w:hAnsi="Arial" w:cs="Arial"/>
          <w:sz w:val="24"/>
          <w:lang w:val="en-GB"/>
        </w:rPr>
      </w:pPr>
    </w:p>
    <w:p w:rsidR="00951AD8" w:rsidRPr="00951AD8" w:rsidRDefault="00951AD8" w:rsidP="00951AD8">
      <w:pPr>
        <w:spacing w:after="200" w:line="240" w:lineRule="auto"/>
        <w:jc w:val="center"/>
        <w:rPr>
          <w:rFonts w:ascii="Arial" w:eastAsia="Calibri" w:hAnsi="Arial" w:cs="Arial"/>
          <w:sz w:val="24"/>
          <w:lang w:val="en-GB"/>
        </w:rPr>
      </w:pPr>
    </w:p>
    <w:p w:rsidR="00951AD8" w:rsidRPr="00951AD8" w:rsidRDefault="00951AD8" w:rsidP="00951AD8">
      <w:pPr>
        <w:spacing w:after="200" w:line="240" w:lineRule="auto"/>
        <w:jc w:val="center"/>
        <w:rPr>
          <w:rFonts w:ascii="Arial" w:eastAsia="Calibri" w:hAnsi="Arial" w:cs="Arial"/>
          <w:sz w:val="24"/>
          <w:lang w:val="en-GB"/>
        </w:rPr>
      </w:pPr>
      <w:proofErr w:type="spellStart"/>
      <w:r w:rsidRPr="00951AD8">
        <w:rPr>
          <w:rFonts w:ascii="Arial" w:eastAsia="Calibri" w:hAnsi="Arial" w:cs="Arial"/>
          <w:sz w:val="24"/>
          <w:lang w:val="en-GB"/>
        </w:rPr>
        <w:t>Ulica</w:t>
      </w:r>
      <w:proofErr w:type="spellEnd"/>
      <w:r w:rsidRPr="00951AD8">
        <w:rPr>
          <w:rFonts w:ascii="Arial" w:eastAsia="Calibri" w:hAnsi="Arial" w:cs="Arial"/>
          <w:sz w:val="24"/>
          <w:lang w:val="en-GB"/>
        </w:rPr>
        <w:t xml:space="preserve"> </w:t>
      </w:r>
      <w:proofErr w:type="spellStart"/>
      <w:r w:rsidRPr="00951AD8">
        <w:rPr>
          <w:rFonts w:ascii="Arial" w:eastAsia="Calibri" w:hAnsi="Arial" w:cs="Arial"/>
          <w:sz w:val="24"/>
          <w:lang w:val="en-GB"/>
        </w:rPr>
        <w:t>grada</w:t>
      </w:r>
      <w:proofErr w:type="spellEnd"/>
      <w:r w:rsidRPr="00951AD8">
        <w:rPr>
          <w:rFonts w:ascii="Arial" w:eastAsia="Calibri" w:hAnsi="Arial" w:cs="Arial"/>
          <w:sz w:val="24"/>
          <w:lang w:val="en-GB"/>
        </w:rPr>
        <w:t xml:space="preserve"> </w:t>
      </w:r>
      <w:proofErr w:type="spellStart"/>
      <w:r w:rsidRPr="00951AD8">
        <w:rPr>
          <w:rFonts w:ascii="Arial" w:eastAsia="Calibri" w:hAnsi="Arial" w:cs="Arial"/>
          <w:sz w:val="24"/>
          <w:lang w:val="en-GB"/>
        </w:rPr>
        <w:t>Vukovara</w:t>
      </w:r>
      <w:proofErr w:type="spellEnd"/>
      <w:r w:rsidRPr="00951AD8">
        <w:rPr>
          <w:rFonts w:ascii="Arial" w:eastAsia="Calibri" w:hAnsi="Arial" w:cs="Arial"/>
          <w:sz w:val="24"/>
          <w:lang w:val="en-GB"/>
        </w:rPr>
        <w:t xml:space="preserve"> 49, 10 000 Zagreb, </w:t>
      </w:r>
      <w:proofErr w:type="spellStart"/>
      <w:r w:rsidRPr="00951AD8">
        <w:rPr>
          <w:rFonts w:ascii="Arial" w:eastAsia="Calibri" w:hAnsi="Arial" w:cs="Arial"/>
          <w:sz w:val="24"/>
          <w:lang w:val="en-GB"/>
        </w:rPr>
        <w:t>Hrvatska</w:t>
      </w:r>
      <w:proofErr w:type="spellEnd"/>
    </w:p>
    <w:p w:rsidR="00951AD8" w:rsidRPr="00951AD8" w:rsidRDefault="00951AD8" w:rsidP="00951AD8">
      <w:pPr>
        <w:spacing w:after="200" w:line="240" w:lineRule="auto"/>
        <w:ind w:firstLine="540"/>
        <w:jc w:val="center"/>
        <w:rPr>
          <w:rFonts w:ascii="Arial" w:eastAsia="Calibri" w:hAnsi="Arial" w:cs="Arial"/>
          <w:color w:val="808080"/>
          <w:sz w:val="24"/>
          <w:lang w:val="en-GB"/>
        </w:rPr>
      </w:pPr>
    </w:p>
    <w:p w:rsidR="00951AD8" w:rsidRPr="00951AD8" w:rsidRDefault="00951AD8" w:rsidP="00951AD8">
      <w:pPr>
        <w:spacing w:after="0" w:line="240" w:lineRule="auto"/>
        <w:ind w:firstLine="426"/>
        <w:jc w:val="both"/>
        <w:rPr>
          <w:rFonts w:ascii="Arial" w:eastAsia="Calibri" w:hAnsi="Arial" w:cs="Arial"/>
          <w:b/>
          <w:sz w:val="24"/>
          <w:szCs w:val="24"/>
        </w:rPr>
      </w:pPr>
      <w:r w:rsidRPr="00951AD8">
        <w:rPr>
          <w:rFonts w:ascii="Arial" w:eastAsia="Calibri" w:hAnsi="Arial" w:cs="Arial"/>
          <w:color w:val="808080"/>
          <w:sz w:val="24"/>
          <w:lang w:val="en-GB"/>
        </w:rPr>
        <w:t>TEL</w:t>
      </w:r>
      <w:r w:rsidRPr="00951AD8">
        <w:rPr>
          <w:rFonts w:ascii="Arial" w:eastAsia="Calibri" w:hAnsi="Arial" w:cs="Arial"/>
          <w:sz w:val="24"/>
          <w:lang w:val="en-GB"/>
        </w:rPr>
        <w:t xml:space="preserve"> 00385(0)1 371 4540   </w:t>
      </w:r>
      <w:r w:rsidRPr="00951AD8">
        <w:rPr>
          <w:rFonts w:ascii="Arial" w:eastAsia="Calibri" w:hAnsi="Arial" w:cs="Arial"/>
          <w:color w:val="808080"/>
          <w:sz w:val="24"/>
          <w:lang w:val="en-GB"/>
        </w:rPr>
        <w:t xml:space="preserve"> FAKS</w:t>
      </w:r>
      <w:r w:rsidRPr="00951AD8">
        <w:rPr>
          <w:rFonts w:ascii="Arial" w:eastAsia="Calibri" w:hAnsi="Arial" w:cs="Arial"/>
          <w:sz w:val="24"/>
          <w:lang w:val="en-GB"/>
        </w:rPr>
        <w:t xml:space="preserve"> 00385(0)1 371 4549    </w:t>
      </w:r>
      <w:r w:rsidRPr="00951AD8">
        <w:rPr>
          <w:rFonts w:ascii="Arial" w:eastAsia="Calibri" w:hAnsi="Arial" w:cs="Arial"/>
          <w:color w:val="808080"/>
          <w:sz w:val="24"/>
          <w:lang w:val="en-GB"/>
        </w:rPr>
        <w:t>WEB</w:t>
      </w:r>
      <w:r w:rsidRPr="00951AD8">
        <w:rPr>
          <w:rFonts w:ascii="Arial" w:eastAsia="Calibri" w:hAnsi="Arial" w:cs="Arial"/>
          <w:sz w:val="24"/>
          <w:lang w:val="en-GB"/>
        </w:rPr>
        <w:t xml:space="preserve"> </w:t>
      </w:r>
      <w:hyperlink r:id="rId10" w:history="1">
        <w:r w:rsidRPr="00951AD8">
          <w:rPr>
            <w:rFonts w:ascii="Arial" w:eastAsia="Calibri" w:hAnsi="Arial" w:cs="Arial"/>
            <w:color w:val="0000FF"/>
            <w:sz w:val="24"/>
            <w:u w:val="single"/>
            <w:lang w:val="en-GB"/>
          </w:rPr>
          <w:t>www.pak.hr</w:t>
        </w:r>
      </w:hyperlink>
    </w:p>
    <w:p w:rsidR="00951AD8" w:rsidRPr="00951AD8" w:rsidRDefault="00951AD8" w:rsidP="00951AD8">
      <w:pPr>
        <w:spacing w:after="0" w:line="240" w:lineRule="auto"/>
        <w:ind w:left="426" w:firstLine="283"/>
        <w:jc w:val="both"/>
        <w:rPr>
          <w:rFonts w:ascii="Arial" w:eastAsia="Calibri" w:hAnsi="Arial" w:cs="Arial"/>
          <w:sz w:val="24"/>
          <w:szCs w:val="24"/>
        </w:rPr>
      </w:pPr>
    </w:p>
    <w:p w:rsidR="00951AD8" w:rsidRDefault="00951AD8" w:rsidP="00951AD8">
      <w:pPr>
        <w:jc w:val="center"/>
        <w:rPr>
          <w:rFonts w:ascii="Times New Roman" w:eastAsia="Calibri" w:hAnsi="Times New Roman" w:cs="Times New Roman"/>
          <w:b/>
          <w:sz w:val="32"/>
          <w:szCs w:val="32"/>
        </w:rPr>
      </w:pPr>
    </w:p>
    <w:p w:rsidR="00951AD8" w:rsidRDefault="00951AD8" w:rsidP="00951AD8">
      <w:pPr>
        <w:jc w:val="center"/>
        <w:rPr>
          <w:rFonts w:ascii="Times New Roman" w:eastAsia="Calibri" w:hAnsi="Times New Roman" w:cs="Times New Roman"/>
          <w:b/>
          <w:sz w:val="32"/>
          <w:szCs w:val="32"/>
        </w:rPr>
      </w:pPr>
    </w:p>
    <w:p w:rsidR="00951AD8" w:rsidRDefault="00951AD8" w:rsidP="00951AD8">
      <w:pPr>
        <w:jc w:val="center"/>
        <w:rPr>
          <w:rFonts w:ascii="Times New Roman" w:eastAsia="Calibri" w:hAnsi="Times New Roman" w:cs="Times New Roman"/>
          <w:b/>
          <w:sz w:val="32"/>
          <w:szCs w:val="32"/>
        </w:rPr>
      </w:pPr>
    </w:p>
    <w:p w:rsidR="00951AD8" w:rsidRDefault="00951AD8" w:rsidP="00951AD8">
      <w:pPr>
        <w:jc w:val="center"/>
        <w:rPr>
          <w:rFonts w:ascii="Times New Roman" w:eastAsia="Calibri" w:hAnsi="Times New Roman" w:cs="Times New Roman"/>
          <w:b/>
          <w:sz w:val="32"/>
          <w:szCs w:val="32"/>
        </w:rPr>
      </w:pPr>
    </w:p>
    <w:p w:rsidR="00951AD8" w:rsidRPr="00951AD8" w:rsidRDefault="00951AD8" w:rsidP="00951AD8">
      <w:pPr>
        <w:jc w:val="center"/>
        <w:rPr>
          <w:rFonts w:ascii="Times New Roman" w:eastAsia="Calibri" w:hAnsi="Times New Roman" w:cs="Times New Roman"/>
          <w:b/>
          <w:sz w:val="32"/>
          <w:szCs w:val="32"/>
        </w:rPr>
      </w:pPr>
    </w:p>
    <w:sdt>
      <w:sdtPr>
        <w:id w:val="1421908486"/>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281FC4" w:rsidRPr="00281FC4" w:rsidRDefault="00281FC4">
          <w:pPr>
            <w:pStyle w:val="TOCNaslov"/>
            <w:rPr>
              <w:color w:val="auto"/>
            </w:rPr>
          </w:pPr>
          <w:r w:rsidRPr="00281FC4">
            <w:rPr>
              <w:color w:val="auto"/>
            </w:rPr>
            <w:t>SADRŽAJ</w:t>
          </w:r>
        </w:p>
        <w:p w:rsidR="00281FC4" w:rsidRPr="00281FC4" w:rsidRDefault="00281FC4">
          <w:pPr>
            <w:pStyle w:val="Sadraj1"/>
            <w:tabs>
              <w:tab w:val="right" w:leader="dot" w:pos="10456"/>
            </w:tabs>
            <w:rPr>
              <w:rFonts w:ascii="Arial" w:hAnsi="Arial" w:cs="Arial"/>
              <w:noProof/>
              <w:sz w:val="24"/>
              <w:szCs w:val="24"/>
            </w:rPr>
          </w:pPr>
          <w:r>
            <w:fldChar w:fldCharType="begin"/>
          </w:r>
          <w:r>
            <w:instrText xml:space="preserve"> TOC \o "1-3" \h \z \u </w:instrText>
          </w:r>
          <w:r>
            <w:fldChar w:fldCharType="separate"/>
          </w:r>
          <w:hyperlink w:anchor="_Toc507067598" w:history="1">
            <w:r w:rsidRPr="00281FC4">
              <w:rPr>
                <w:rStyle w:val="Hiperveza"/>
                <w:rFonts w:ascii="Arial" w:hAnsi="Arial" w:cs="Arial"/>
                <w:noProof/>
                <w:sz w:val="24"/>
                <w:szCs w:val="24"/>
              </w:rPr>
              <w:t>UVOD</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_Toc507067598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5</w:t>
            </w:r>
            <w:r w:rsidRPr="00281FC4">
              <w:rPr>
                <w:rFonts w:ascii="Arial" w:hAnsi="Arial" w:cs="Arial"/>
                <w:noProof/>
                <w:webHidden/>
                <w:sz w:val="24"/>
                <w:szCs w:val="24"/>
              </w:rPr>
              <w:fldChar w:fldCharType="end"/>
            </w:r>
          </w:hyperlink>
        </w:p>
        <w:p w:rsidR="00281FC4" w:rsidRPr="00281FC4" w:rsidRDefault="00281FC4">
          <w:pPr>
            <w:pStyle w:val="Sadraj1"/>
            <w:tabs>
              <w:tab w:val="right" w:leader="dot" w:pos="10456"/>
            </w:tabs>
            <w:rPr>
              <w:rFonts w:ascii="Arial" w:hAnsi="Arial" w:cs="Arial"/>
              <w:noProof/>
              <w:sz w:val="24"/>
              <w:szCs w:val="24"/>
            </w:rPr>
          </w:pPr>
          <w:hyperlink w:anchor="_Toc507067599" w:history="1">
            <w:r w:rsidRPr="00281FC4">
              <w:rPr>
                <w:rStyle w:val="Hiperveza"/>
                <w:rFonts w:ascii="Arial" w:hAnsi="Arial" w:cs="Arial"/>
                <w:noProof/>
                <w:sz w:val="24"/>
                <w:szCs w:val="24"/>
              </w:rPr>
              <w:t>1. NAČELA I OSNOVNE POSTUPOVNE ODREDBE PREDSTEČAJNOG POSTUPKA</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_Toc507067599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6</w:t>
            </w:r>
            <w:r w:rsidRPr="00281FC4">
              <w:rPr>
                <w:rFonts w:ascii="Arial" w:hAnsi="Arial" w:cs="Arial"/>
                <w:noProof/>
                <w:webHidden/>
                <w:sz w:val="24"/>
                <w:szCs w:val="24"/>
              </w:rPr>
              <w:fldChar w:fldCharType="end"/>
            </w:r>
          </w:hyperlink>
        </w:p>
        <w:p w:rsidR="00281FC4" w:rsidRPr="00281FC4" w:rsidRDefault="00281FC4">
          <w:pPr>
            <w:pStyle w:val="Sadraj2"/>
            <w:tabs>
              <w:tab w:val="right" w:leader="dot" w:pos="10456"/>
            </w:tabs>
            <w:rPr>
              <w:rFonts w:ascii="Arial" w:hAnsi="Arial" w:cs="Arial"/>
              <w:noProof/>
              <w:sz w:val="24"/>
              <w:szCs w:val="24"/>
            </w:rPr>
          </w:pPr>
          <w:hyperlink w:anchor="_Toc507067600" w:history="1">
            <w:r w:rsidRPr="00281FC4">
              <w:rPr>
                <w:rStyle w:val="Hiperveza"/>
                <w:rFonts w:ascii="Arial" w:hAnsi="Arial" w:cs="Arial"/>
                <w:noProof/>
                <w:sz w:val="24"/>
                <w:szCs w:val="24"/>
              </w:rPr>
              <w:t>1.1.Načelo dispozicije i oficioznosti</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_Toc507067600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6</w:t>
            </w:r>
            <w:r w:rsidRPr="00281FC4">
              <w:rPr>
                <w:rFonts w:ascii="Arial" w:hAnsi="Arial" w:cs="Arial"/>
                <w:noProof/>
                <w:webHidden/>
                <w:sz w:val="24"/>
                <w:szCs w:val="24"/>
              </w:rPr>
              <w:fldChar w:fldCharType="end"/>
            </w:r>
          </w:hyperlink>
        </w:p>
        <w:p w:rsidR="00281FC4" w:rsidRPr="00281FC4" w:rsidRDefault="00281FC4">
          <w:pPr>
            <w:pStyle w:val="Sadraj2"/>
            <w:tabs>
              <w:tab w:val="right" w:leader="dot" w:pos="10456"/>
            </w:tabs>
            <w:rPr>
              <w:rFonts w:ascii="Arial" w:hAnsi="Arial" w:cs="Arial"/>
              <w:noProof/>
              <w:sz w:val="24"/>
              <w:szCs w:val="24"/>
            </w:rPr>
          </w:pPr>
          <w:hyperlink w:anchor="_Toc507067601" w:history="1">
            <w:r w:rsidRPr="00281FC4">
              <w:rPr>
                <w:rStyle w:val="Hiperveza"/>
                <w:rFonts w:ascii="Arial" w:hAnsi="Arial" w:cs="Arial"/>
                <w:noProof/>
                <w:sz w:val="24"/>
                <w:szCs w:val="24"/>
              </w:rPr>
              <w:t>1.2. Načelo strogog formalizma</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_Toc507067601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8</w:t>
            </w:r>
            <w:r w:rsidRPr="00281FC4">
              <w:rPr>
                <w:rFonts w:ascii="Arial" w:hAnsi="Arial" w:cs="Arial"/>
                <w:noProof/>
                <w:webHidden/>
                <w:sz w:val="24"/>
                <w:szCs w:val="24"/>
              </w:rPr>
              <w:fldChar w:fldCharType="end"/>
            </w:r>
          </w:hyperlink>
        </w:p>
        <w:p w:rsidR="00281FC4" w:rsidRPr="00281FC4" w:rsidRDefault="00281FC4">
          <w:pPr>
            <w:pStyle w:val="Sadraj2"/>
            <w:tabs>
              <w:tab w:val="right" w:leader="dot" w:pos="10456"/>
            </w:tabs>
            <w:rPr>
              <w:rFonts w:ascii="Arial" w:hAnsi="Arial" w:cs="Arial"/>
              <w:noProof/>
              <w:sz w:val="24"/>
              <w:szCs w:val="24"/>
            </w:rPr>
          </w:pPr>
          <w:hyperlink w:anchor="_Toc507067602" w:history="1">
            <w:r w:rsidRPr="00281FC4">
              <w:rPr>
                <w:rStyle w:val="Hiperveza"/>
                <w:rFonts w:ascii="Arial" w:hAnsi="Arial" w:cs="Arial"/>
                <w:noProof/>
                <w:sz w:val="24"/>
                <w:szCs w:val="24"/>
              </w:rPr>
              <w:t>1.3. Načelo hitnosti</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_Toc507067602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9</w:t>
            </w:r>
            <w:r w:rsidRPr="00281FC4">
              <w:rPr>
                <w:rFonts w:ascii="Arial" w:hAnsi="Arial" w:cs="Arial"/>
                <w:noProof/>
                <w:webHidden/>
                <w:sz w:val="24"/>
                <w:szCs w:val="24"/>
              </w:rPr>
              <w:fldChar w:fldCharType="end"/>
            </w:r>
          </w:hyperlink>
        </w:p>
        <w:p w:rsidR="00281FC4" w:rsidRPr="00281FC4" w:rsidRDefault="00281FC4">
          <w:pPr>
            <w:pStyle w:val="Sadraj2"/>
            <w:tabs>
              <w:tab w:val="right" w:leader="dot" w:pos="10456"/>
            </w:tabs>
            <w:rPr>
              <w:rFonts w:ascii="Arial" w:hAnsi="Arial" w:cs="Arial"/>
              <w:noProof/>
              <w:sz w:val="24"/>
              <w:szCs w:val="24"/>
            </w:rPr>
          </w:pPr>
          <w:hyperlink w:anchor="_Toc507067603" w:history="1">
            <w:r w:rsidRPr="00281FC4">
              <w:rPr>
                <w:rStyle w:val="Hiperveza"/>
                <w:rFonts w:ascii="Arial" w:hAnsi="Arial" w:cs="Arial"/>
                <w:noProof/>
                <w:sz w:val="24"/>
                <w:szCs w:val="24"/>
              </w:rPr>
              <w:t>1.4. Istražno (inkvizitorsko) načelo</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_Toc507067603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10</w:t>
            </w:r>
            <w:r w:rsidRPr="00281FC4">
              <w:rPr>
                <w:rFonts w:ascii="Arial" w:hAnsi="Arial" w:cs="Arial"/>
                <w:noProof/>
                <w:webHidden/>
                <w:sz w:val="24"/>
                <w:szCs w:val="24"/>
              </w:rPr>
              <w:fldChar w:fldCharType="end"/>
            </w:r>
          </w:hyperlink>
        </w:p>
        <w:p w:rsidR="00281FC4" w:rsidRPr="00281FC4" w:rsidRDefault="00281FC4">
          <w:pPr>
            <w:pStyle w:val="Sadraj2"/>
            <w:tabs>
              <w:tab w:val="right" w:leader="dot" w:pos="10456"/>
            </w:tabs>
            <w:rPr>
              <w:rFonts w:ascii="Arial" w:hAnsi="Arial" w:cs="Arial"/>
              <w:noProof/>
              <w:sz w:val="24"/>
              <w:szCs w:val="24"/>
            </w:rPr>
          </w:pPr>
          <w:hyperlink w:anchor="_Toc507067604" w:history="1">
            <w:r w:rsidRPr="00281FC4">
              <w:rPr>
                <w:rStyle w:val="Hiperveza"/>
                <w:rFonts w:ascii="Arial" w:hAnsi="Arial" w:cs="Arial"/>
                <w:noProof/>
                <w:sz w:val="24"/>
                <w:szCs w:val="24"/>
              </w:rPr>
              <w:t>1.5. Načelo pristupa informacijama</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_Toc507067604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10</w:t>
            </w:r>
            <w:r w:rsidRPr="00281FC4">
              <w:rPr>
                <w:rFonts w:ascii="Arial" w:hAnsi="Arial" w:cs="Arial"/>
                <w:noProof/>
                <w:webHidden/>
                <w:sz w:val="24"/>
                <w:szCs w:val="24"/>
              </w:rPr>
              <w:fldChar w:fldCharType="end"/>
            </w:r>
          </w:hyperlink>
        </w:p>
        <w:p w:rsidR="00281FC4" w:rsidRPr="00281FC4" w:rsidRDefault="00281FC4">
          <w:pPr>
            <w:pStyle w:val="Sadraj2"/>
            <w:tabs>
              <w:tab w:val="right" w:leader="dot" w:pos="10456"/>
            </w:tabs>
            <w:rPr>
              <w:rFonts w:ascii="Arial" w:hAnsi="Arial" w:cs="Arial"/>
              <w:noProof/>
              <w:sz w:val="24"/>
              <w:szCs w:val="24"/>
            </w:rPr>
          </w:pPr>
          <w:hyperlink w:anchor="_Toc507067605" w:history="1">
            <w:r w:rsidRPr="00281FC4">
              <w:rPr>
                <w:rStyle w:val="Hiperveza"/>
                <w:rFonts w:ascii="Arial" w:hAnsi="Arial" w:cs="Arial"/>
                <w:noProof/>
                <w:sz w:val="24"/>
                <w:szCs w:val="24"/>
              </w:rPr>
              <w:t>1.6. Načelo dobrovoljnosti</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_Toc507067605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11</w:t>
            </w:r>
            <w:r w:rsidRPr="00281FC4">
              <w:rPr>
                <w:rFonts w:ascii="Arial" w:hAnsi="Arial" w:cs="Arial"/>
                <w:noProof/>
                <w:webHidden/>
                <w:sz w:val="24"/>
                <w:szCs w:val="24"/>
              </w:rPr>
              <w:fldChar w:fldCharType="end"/>
            </w:r>
          </w:hyperlink>
        </w:p>
        <w:p w:rsidR="00281FC4" w:rsidRPr="00281FC4" w:rsidRDefault="00281FC4">
          <w:pPr>
            <w:pStyle w:val="Sadraj2"/>
            <w:tabs>
              <w:tab w:val="right" w:leader="dot" w:pos="10456"/>
            </w:tabs>
            <w:rPr>
              <w:rFonts w:ascii="Arial" w:hAnsi="Arial" w:cs="Arial"/>
              <w:noProof/>
              <w:sz w:val="24"/>
              <w:szCs w:val="24"/>
            </w:rPr>
          </w:pPr>
          <w:hyperlink w:anchor="_Toc507067606" w:history="1">
            <w:r w:rsidRPr="00281FC4">
              <w:rPr>
                <w:rStyle w:val="Hiperveza"/>
                <w:rFonts w:ascii="Arial" w:hAnsi="Arial" w:cs="Arial"/>
                <w:noProof/>
                <w:sz w:val="24"/>
                <w:szCs w:val="24"/>
              </w:rPr>
              <w:t>1.7. Nadležnost i sastav suda</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_Toc507067606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11</w:t>
            </w:r>
            <w:r w:rsidRPr="00281FC4">
              <w:rPr>
                <w:rFonts w:ascii="Arial" w:hAnsi="Arial" w:cs="Arial"/>
                <w:noProof/>
                <w:webHidden/>
                <w:sz w:val="24"/>
                <w:szCs w:val="24"/>
              </w:rPr>
              <w:fldChar w:fldCharType="end"/>
            </w:r>
          </w:hyperlink>
        </w:p>
        <w:p w:rsidR="00281FC4" w:rsidRPr="00281FC4" w:rsidRDefault="00281FC4">
          <w:pPr>
            <w:pStyle w:val="Sadraj2"/>
            <w:tabs>
              <w:tab w:val="right" w:leader="dot" w:pos="10456"/>
            </w:tabs>
            <w:rPr>
              <w:rFonts w:ascii="Arial" w:hAnsi="Arial" w:cs="Arial"/>
              <w:noProof/>
              <w:sz w:val="24"/>
              <w:szCs w:val="24"/>
            </w:rPr>
          </w:pPr>
          <w:hyperlink w:anchor="_Toc507067607" w:history="1">
            <w:r w:rsidRPr="00281FC4">
              <w:rPr>
                <w:rStyle w:val="Hiperveza"/>
                <w:rFonts w:ascii="Arial" w:hAnsi="Arial" w:cs="Arial"/>
                <w:noProof/>
                <w:sz w:val="24"/>
                <w:szCs w:val="24"/>
              </w:rPr>
              <w:t>1.8. Elektronička dostava sudskih pismena</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_Toc507067607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12</w:t>
            </w:r>
            <w:r w:rsidRPr="00281FC4">
              <w:rPr>
                <w:rFonts w:ascii="Arial" w:hAnsi="Arial" w:cs="Arial"/>
                <w:noProof/>
                <w:webHidden/>
                <w:sz w:val="24"/>
                <w:szCs w:val="24"/>
              </w:rPr>
              <w:fldChar w:fldCharType="end"/>
            </w:r>
          </w:hyperlink>
        </w:p>
        <w:p w:rsidR="00281FC4" w:rsidRPr="00281FC4" w:rsidRDefault="00281FC4">
          <w:pPr>
            <w:pStyle w:val="Sadraj2"/>
            <w:tabs>
              <w:tab w:val="right" w:leader="dot" w:pos="10456"/>
            </w:tabs>
            <w:rPr>
              <w:rFonts w:ascii="Arial" w:hAnsi="Arial" w:cs="Arial"/>
              <w:noProof/>
              <w:sz w:val="24"/>
              <w:szCs w:val="24"/>
            </w:rPr>
          </w:pPr>
          <w:hyperlink w:anchor="_Toc507067608" w:history="1">
            <w:r w:rsidRPr="00281FC4">
              <w:rPr>
                <w:rStyle w:val="Hiperveza"/>
                <w:rFonts w:ascii="Arial" w:hAnsi="Arial" w:cs="Arial"/>
                <w:noProof/>
                <w:sz w:val="24"/>
                <w:szCs w:val="24"/>
              </w:rPr>
              <w:t>1.9. Odluke suda i pravni lijekovi</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_Toc507067608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13</w:t>
            </w:r>
            <w:r w:rsidRPr="00281FC4">
              <w:rPr>
                <w:rFonts w:ascii="Arial" w:hAnsi="Arial" w:cs="Arial"/>
                <w:noProof/>
                <w:webHidden/>
                <w:sz w:val="24"/>
                <w:szCs w:val="24"/>
              </w:rPr>
              <w:fldChar w:fldCharType="end"/>
            </w:r>
          </w:hyperlink>
        </w:p>
        <w:p w:rsidR="00281FC4" w:rsidRPr="00281FC4" w:rsidRDefault="00281FC4">
          <w:pPr>
            <w:pStyle w:val="Sadraj2"/>
            <w:tabs>
              <w:tab w:val="right" w:leader="dot" w:pos="10456"/>
            </w:tabs>
            <w:rPr>
              <w:rFonts w:ascii="Arial" w:hAnsi="Arial" w:cs="Arial"/>
              <w:noProof/>
              <w:sz w:val="24"/>
              <w:szCs w:val="24"/>
            </w:rPr>
          </w:pPr>
          <w:hyperlink w:anchor="_Toc507067609" w:history="1">
            <w:r w:rsidRPr="00281FC4">
              <w:rPr>
                <w:rStyle w:val="Hiperveza"/>
                <w:rFonts w:ascii="Arial" w:hAnsi="Arial" w:cs="Arial"/>
                <w:noProof/>
                <w:sz w:val="24"/>
                <w:szCs w:val="24"/>
              </w:rPr>
              <w:t>1.10. Načelo davanja državnih potpora</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_Toc507067609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13</w:t>
            </w:r>
            <w:r w:rsidRPr="00281FC4">
              <w:rPr>
                <w:rFonts w:ascii="Arial" w:hAnsi="Arial" w:cs="Arial"/>
                <w:noProof/>
                <w:webHidden/>
                <w:sz w:val="24"/>
                <w:szCs w:val="24"/>
              </w:rPr>
              <w:fldChar w:fldCharType="end"/>
            </w:r>
          </w:hyperlink>
        </w:p>
        <w:p w:rsidR="00281FC4" w:rsidRPr="00281FC4" w:rsidRDefault="00281FC4">
          <w:pPr>
            <w:pStyle w:val="Sadraj2"/>
            <w:tabs>
              <w:tab w:val="right" w:leader="dot" w:pos="10456"/>
            </w:tabs>
            <w:rPr>
              <w:rFonts w:ascii="Arial" w:hAnsi="Arial" w:cs="Arial"/>
              <w:noProof/>
              <w:sz w:val="24"/>
              <w:szCs w:val="24"/>
            </w:rPr>
          </w:pPr>
          <w:hyperlink w:anchor="_Toc507067610" w:history="1">
            <w:r w:rsidRPr="00281FC4">
              <w:rPr>
                <w:rStyle w:val="Hiperveza"/>
                <w:rFonts w:ascii="Arial" w:hAnsi="Arial" w:cs="Arial"/>
                <w:noProof/>
                <w:sz w:val="24"/>
                <w:szCs w:val="24"/>
              </w:rPr>
              <w:t>1.11. Troškovi postupka</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_Toc507067610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14</w:t>
            </w:r>
            <w:r w:rsidRPr="00281FC4">
              <w:rPr>
                <w:rFonts w:ascii="Arial" w:hAnsi="Arial" w:cs="Arial"/>
                <w:noProof/>
                <w:webHidden/>
                <w:sz w:val="24"/>
                <w:szCs w:val="24"/>
              </w:rPr>
              <w:fldChar w:fldCharType="end"/>
            </w:r>
          </w:hyperlink>
        </w:p>
        <w:p w:rsidR="00281FC4" w:rsidRPr="00281FC4" w:rsidRDefault="00281FC4">
          <w:pPr>
            <w:pStyle w:val="Sadraj1"/>
            <w:tabs>
              <w:tab w:val="right" w:leader="dot" w:pos="10456"/>
            </w:tabs>
            <w:rPr>
              <w:rFonts w:ascii="Arial" w:hAnsi="Arial" w:cs="Arial"/>
              <w:noProof/>
              <w:sz w:val="24"/>
              <w:szCs w:val="24"/>
            </w:rPr>
          </w:pPr>
          <w:hyperlink w:anchor="_Toc507067611" w:history="1">
            <w:r w:rsidRPr="00281FC4">
              <w:rPr>
                <w:rStyle w:val="Hiperveza"/>
                <w:rFonts w:ascii="Arial" w:hAnsi="Arial" w:cs="Arial"/>
                <w:noProof/>
                <w:sz w:val="24"/>
                <w:szCs w:val="24"/>
              </w:rPr>
              <w:t>2. TIJELA PREDSTEČAJNOG POSTUPKA</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_Toc507067611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14</w:t>
            </w:r>
            <w:r w:rsidRPr="00281FC4">
              <w:rPr>
                <w:rFonts w:ascii="Arial" w:hAnsi="Arial" w:cs="Arial"/>
                <w:noProof/>
                <w:webHidden/>
                <w:sz w:val="24"/>
                <w:szCs w:val="24"/>
              </w:rPr>
              <w:fldChar w:fldCharType="end"/>
            </w:r>
          </w:hyperlink>
        </w:p>
        <w:p w:rsidR="00281FC4" w:rsidRPr="00281FC4" w:rsidRDefault="00281FC4">
          <w:pPr>
            <w:pStyle w:val="Sadraj2"/>
            <w:tabs>
              <w:tab w:val="right" w:leader="dot" w:pos="10456"/>
            </w:tabs>
            <w:rPr>
              <w:rFonts w:ascii="Arial" w:hAnsi="Arial" w:cs="Arial"/>
              <w:noProof/>
              <w:sz w:val="24"/>
              <w:szCs w:val="24"/>
            </w:rPr>
          </w:pPr>
          <w:hyperlink w:anchor="_Toc507067612" w:history="1">
            <w:r w:rsidRPr="00281FC4">
              <w:rPr>
                <w:rStyle w:val="Hiperveza"/>
                <w:rFonts w:ascii="Arial" w:hAnsi="Arial" w:cs="Arial"/>
                <w:noProof/>
                <w:sz w:val="24"/>
                <w:szCs w:val="24"/>
              </w:rPr>
              <w:t>2.1. Ovlasti suda</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_Toc507067612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15</w:t>
            </w:r>
            <w:r w:rsidRPr="00281FC4">
              <w:rPr>
                <w:rFonts w:ascii="Arial" w:hAnsi="Arial" w:cs="Arial"/>
                <w:noProof/>
                <w:webHidden/>
                <w:sz w:val="24"/>
                <w:szCs w:val="24"/>
              </w:rPr>
              <w:fldChar w:fldCharType="end"/>
            </w:r>
          </w:hyperlink>
        </w:p>
        <w:p w:rsidR="00281FC4" w:rsidRPr="00281FC4" w:rsidRDefault="00281FC4">
          <w:pPr>
            <w:pStyle w:val="Sadraj3"/>
            <w:tabs>
              <w:tab w:val="right" w:leader="dot" w:pos="10456"/>
            </w:tabs>
            <w:rPr>
              <w:rFonts w:ascii="Arial" w:hAnsi="Arial" w:cs="Arial"/>
              <w:noProof/>
              <w:sz w:val="24"/>
              <w:szCs w:val="24"/>
            </w:rPr>
          </w:pPr>
          <w:hyperlink w:anchor="_Toc507067613" w:history="1">
            <w:r w:rsidRPr="00281FC4">
              <w:rPr>
                <w:rStyle w:val="Hiperveza"/>
                <w:rFonts w:ascii="Arial" w:hAnsi="Arial" w:cs="Arial"/>
                <w:noProof/>
                <w:sz w:val="24"/>
                <w:szCs w:val="24"/>
              </w:rPr>
              <w:t>2.1.1. Otvaranje predstečajnog postupka</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_Toc507067613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15</w:t>
            </w:r>
            <w:r w:rsidRPr="00281FC4">
              <w:rPr>
                <w:rFonts w:ascii="Arial" w:hAnsi="Arial" w:cs="Arial"/>
                <w:noProof/>
                <w:webHidden/>
                <w:sz w:val="24"/>
                <w:szCs w:val="24"/>
              </w:rPr>
              <w:fldChar w:fldCharType="end"/>
            </w:r>
          </w:hyperlink>
        </w:p>
        <w:p w:rsidR="00281FC4" w:rsidRPr="00281FC4" w:rsidRDefault="00281FC4">
          <w:pPr>
            <w:pStyle w:val="Sadraj3"/>
            <w:tabs>
              <w:tab w:val="right" w:leader="dot" w:pos="10456"/>
            </w:tabs>
            <w:rPr>
              <w:rFonts w:ascii="Arial" w:hAnsi="Arial" w:cs="Arial"/>
              <w:noProof/>
              <w:sz w:val="24"/>
              <w:szCs w:val="24"/>
            </w:rPr>
          </w:pPr>
          <w:hyperlink w:anchor="_Toc507067614" w:history="1">
            <w:r w:rsidRPr="00281FC4">
              <w:rPr>
                <w:rStyle w:val="Hiperveza"/>
                <w:rFonts w:ascii="Arial" w:hAnsi="Arial" w:cs="Arial"/>
                <w:noProof/>
                <w:sz w:val="24"/>
                <w:szCs w:val="24"/>
              </w:rPr>
              <w:t>2.1.2. Predujam troškova postupka</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_Toc507067614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20</w:t>
            </w:r>
            <w:r w:rsidRPr="00281FC4">
              <w:rPr>
                <w:rFonts w:ascii="Arial" w:hAnsi="Arial" w:cs="Arial"/>
                <w:noProof/>
                <w:webHidden/>
                <w:sz w:val="24"/>
                <w:szCs w:val="24"/>
              </w:rPr>
              <w:fldChar w:fldCharType="end"/>
            </w:r>
          </w:hyperlink>
        </w:p>
        <w:p w:rsidR="00281FC4" w:rsidRPr="00281FC4" w:rsidRDefault="00281FC4">
          <w:pPr>
            <w:pStyle w:val="Sadraj3"/>
            <w:tabs>
              <w:tab w:val="right" w:leader="dot" w:pos="10456"/>
            </w:tabs>
            <w:rPr>
              <w:rFonts w:ascii="Arial" w:hAnsi="Arial" w:cs="Arial"/>
              <w:noProof/>
              <w:sz w:val="24"/>
              <w:szCs w:val="24"/>
            </w:rPr>
          </w:pPr>
          <w:hyperlink w:anchor="_Toc507067615" w:history="1">
            <w:r w:rsidRPr="00281FC4">
              <w:rPr>
                <w:rStyle w:val="Hiperveza"/>
                <w:rFonts w:ascii="Arial" w:hAnsi="Arial" w:cs="Arial"/>
                <w:noProof/>
                <w:sz w:val="24"/>
                <w:szCs w:val="24"/>
              </w:rPr>
              <w:t>2.1.3. Rješenje o otvaranju predstečajnog postupka</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_Toc507067615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21</w:t>
            </w:r>
            <w:r w:rsidRPr="00281FC4">
              <w:rPr>
                <w:rFonts w:ascii="Arial" w:hAnsi="Arial" w:cs="Arial"/>
                <w:noProof/>
                <w:webHidden/>
                <w:sz w:val="24"/>
                <w:szCs w:val="24"/>
              </w:rPr>
              <w:fldChar w:fldCharType="end"/>
            </w:r>
          </w:hyperlink>
        </w:p>
        <w:p w:rsidR="00281FC4" w:rsidRPr="00281FC4" w:rsidRDefault="00281FC4">
          <w:pPr>
            <w:pStyle w:val="Sadraj3"/>
            <w:tabs>
              <w:tab w:val="right" w:leader="dot" w:pos="10456"/>
            </w:tabs>
            <w:rPr>
              <w:rFonts w:ascii="Arial" w:hAnsi="Arial" w:cs="Arial"/>
              <w:noProof/>
              <w:sz w:val="24"/>
              <w:szCs w:val="24"/>
            </w:rPr>
          </w:pPr>
          <w:hyperlink w:anchor="_Toc507067616" w:history="1">
            <w:r w:rsidRPr="00281FC4">
              <w:rPr>
                <w:rStyle w:val="Hiperveza"/>
                <w:rFonts w:ascii="Arial" w:hAnsi="Arial" w:cs="Arial"/>
                <w:noProof/>
                <w:sz w:val="24"/>
                <w:szCs w:val="24"/>
              </w:rPr>
              <w:t>2.1.4. Određivanje ročišta radi ispitivanja tražbina</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_Toc507067616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22</w:t>
            </w:r>
            <w:r w:rsidRPr="00281FC4">
              <w:rPr>
                <w:rFonts w:ascii="Arial" w:hAnsi="Arial" w:cs="Arial"/>
                <w:noProof/>
                <w:webHidden/>
                <w:sz w:val="24"/>
                <w:szCs w:val="24"/>
              </w:rPr>
              <w:fldChar w:fldCharType="end"/>
            </w:r>
          </w:hyperlink>
        </w:p>
        <w:p w:rsidR="00281FC4" w:rsidRPr="00281FC4" w:rsidRDefault="00281FC4">
          <w:pPr>
            <w:pStyle w:val="Sadraj2"/>
            <w:tabs>
              <w:tab w:val="right" w:leader="dot" w:pos="10456"/>
            </w:tabs>
            <w:rPr>
              <w:rFonts w:ascii="Arial" w:hAnsi="Arial" w:cs="Arial"/>
              <w:noProof/>
              <w:sz w:val="24"/>
              <w:szCs w:val="24"/>
            </w:rPr>
          </w:pPr>
          <w:hyperlink w:anchor="_Toc507067617" w:history="1">
            <w:r w:rsidRPr="00281FC4">
              <w:rPr>
                <w:rStyle w:val="Hiperveza"/>
                <w:rFonts w:ascii="Arial" w:hAnsi="Arial" w:cs="Arial"/>
                <w:noProof/>
                <w:sz w:val="24"/>
                <w:szCs w:val="24"/>
              </w:rPr>
              <w:t>2.2. Imenovanje i razrješenje povjerenika</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_Toc507067617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23</w:t>
            </w:r>
            <w:r w:rsidRPr="00281FC4">
              <w:rPr>
                <w:rFonts w:ascii="Arial" w:hAnsi="Arial" w:cs="Arial"/>
                <w:noProof/>
                <w:webHidden/>
                <w:sz w:val="24"/>
                <w:szCs w:val="24"/>
              </w:rPr>
              <w:fldChar w:fldCharType="end"/>
            </w:r>
          </w:hyperlink>
        </w:p>
        <w:p w:rsidR="00281FC4" w:rsidRPr="00281FC4" w:rsidRDefault="00281FC4">
          <w:pPr>
            <w:pStyle w:val="Sadraj3"/>
            <w:tabs>
              <w:tab w:val="right" w:leader="dot" w:pos="10456"/>
            </w:tabs>
            <w:rPr>
              <w:rFonts w:ascii="Arial" w:hAnsi="Arial" w:cs="Arial"/>
              <w:noProof/>
              <w:sz w:val="24"/>
              <w:szCs w:val="24"/>
            </w:rPr>
          </w:pPr>
          <w:hyperlink w:anchor="_Toc507067618" w:history="1">
            <w:r w:rsidRPr="00281FC4">
              <w:rPr>
                <w:rStyle w:val="Hiperveza"/>
                <w:rFonts w:ascii="Arial" w:hAnsi="Arial" w:cs="Arial"/>
                <w:noProof/>
                <w:sz w:val="24"/>
                <w:szCs w:val="24"/>
              </w:rPr>
              <w:t>2.2.1. Imenovanje povjerenika</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_Toc507067618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23</w:t>
            </w:r>
            <w:r w:rsidRPr="00281FC4">
              <w:rPr>
                <w:rFonts w:ascii="Arial" w:hAnsi="Arial" w:cs="Arial"/>
                <w:noProof/>
                <w:webHidden/>
                <w:sz w:val="24"/>
                <w:szCs w:val="24"/>
              </w:rPr>
              <w:fldChar w:fldCharType="end"/>
            </w:r>
          </w:hyperlink>
        </w:p>
        <w:p w:rsidR="00281FC4" w:rsidRPr="00281FC4" w:rsidRDefault="00281FC4">
          <w:pPr>
            <w:pStyle w:val="Sadraj3"/>
            <w:tabs>
              <w:tab w:val="right" w:leader="dot" w:pos="10456"/>
            </w:tabs>
            <w:rPr>
              <w:rFonts w:ascii="Arial" w:hAnsi="Arial" w:cs="Arial"/>
              <w:noProof/>
              <w:sz w:val="24"/>
              <w:szCs w:val="24"/>
            </w:rPr>
          </w:pPr>
          <w:hyperlink w:anchor="_Toc507067619" w:history="1">
            <w:r w:rsidRPr="00281FC4">
              <w:rPr>
                <w:rStyle w:val="Hiperveza"/>
                <w:rFonts w:ascii="Arial" w:hAnsi="Arial" w:cs="Arial"/>
                <w:noProof/>
                <w:sz w:val="24"/>
                <w:szCs w:val="24"/>
              </w:rPr>
              <w:t>2.2.2. Dužnosti povjerenika</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_Toc507067619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24</w:t>
            </w:r>
            <w:r w:rsidRPr="00281FC4">
              <w:rPr>
                <w:rFonts w:ascii="Arial" w:hAnsi="Arial" w:cs="Arial"/>
                <w:noProof/>
                <w:webHidden/>
                <w:sz w:val="24"/>
                <w:szCs w:val="24"/>
              </w:rPr>
              <w:fldChar w:fldCharType="end"/>
            </w:r>
          </w:hyperlink>
        </w:p>
        <w:p w:rsidR="00281FC4" w:rsidRPr="00281FC4" w:rsidRDefault="00281FC4">
          <w:pPr>
            <w:pStyle w:val="Sadraj3"/>
            <w:tabs>
              <w:tab w:val="right" w:leader="dot" w:pos="10456"/>
            </w:tabs>
            <w:rPr>
              <w:rFonts w:ascii="Arial" w:hAnsi="Arial" w:cs="Arial"/>
              <w:noProof/>
              <w:sz w:val="24"/>
              <w:szCs w:val="24"/>
            </w:rPr>
          </w:pPr>
          <w:hyperlink w:anchor="_Toc507067620" w:history="1">
            <w:r w:rsidRPr="00281FC4">
              <w:rPr>
                <w:rStyle w:val="Hiperveza"/>
                <w:rFonts w:ascii="Arial" w:hAnsi="Arial" w:cs="Arial"/>
                <w:noProof/>
                <w:sz w:val="24"/>
                <w:szCs w:val="24"/>
              </w:rPr>
              <w:t>2.2.3. Razrješenje povjerenika</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_Toc507067620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24</w:t>
            </w:r>
            <w:r w:rsidRPr="00281FC4">
              <w:rPr>
                <w:rFonts w:ascii="Arial" w:hAnsi="Arial" w:cs="Arial"/>
                <w:noProof/>
                <w:webHidden/>
                <w:sz w:val="24"/>
                <w:szCs w:val="24"/>
              </w:rPr>
              <w:fldChar w:fldCharType="end"/>
            </w:r>
          </w:hyperlink>
        </w:p>
        <w:p w:rsidR="00281FC4" w:rsidRPr="00281FC4" w:rsidRDefault="00281FC4">
          <w:pPr>
            <w:pStyle w:val="Sadraj2"/>
            <w:tabs>
              <w:tab w:val="right" w:leader="dot" w:pos="10456"/>
            </w:tabs>
            <w:rPr>
              <w:rFonts w:ascii="Arial" w:hAnsi="Arial" w:cs="Arial"/>
              <w:noProof/>
              <w:sz w:val="24"/>
              <w:szCs w:val="24"/>
            </w:rPr>
          </w:pPr>
          <w:hyperlink w:anchor="_Toc507067621" w:history="1">
            <w:r w:rsidRPr="00281FC4">
              <w:rPr>
                <w:rStyle w:val="Hiperveza"/>
                <w:rFonts w:ascii="Arial" w:hAnsi="Arial" w:cs="Arial"/>
                <w:noProof/>
                <w:sz w:val="24"/>
                <w:szCs w:val="24"/>
              </w:rPr>
              <w:t>2.3. Utvrđivanje tražbina</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_Toc507067621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25</w:t>
            </w:r>
            <w:r w:rsidRPr="00281FC4">
              <w:rPr>
                <w:rFonts w:ascii="Arial" w:hAnsi="Arial" w:cs="Arial"/>
                <w:noProof/>
                <w:webHidden/>
                <w:sz w:val="24"/>
                <w:szCs w:val="24"/>
              </w:rPr>
              <w:fldChar w:fldCharType="end"/>
            </w:r>
          </w:hyperlink>
        </w:p>
        <w:p w:rsidR="00281FC4" w:rsidRPr="00281FC4" w:rsidRDefault="00281FC4">
          <w:pPr>
            <w:pStyle w:val="Sadraj3"/>
            <w:tabs>
              <w:tab w:val="right" w:leader="dot" w:pos="10456"/>
            </w:tabs>
            <w:rPr>
              <w:rFonts w:ascii="Arial" w:hAnsi="Arial" w:cs="Arial"/>
              <w:noProof/>
              <w:sz w:val="24"/>
              <w:szCs w:val="24"/>
            </w:rPr>
          </w:pPr>
          <w:hyperlink w:anchor="_Toc507067622" w:history="1">
            <w:r w:rsidRPr="00281FC4">
              <w:rPr>
                <w:rStyle w:val="Hiperveza"/>
                <w:rFonts w:ascii="Arial" w:hAnsi="Arial" w:cs="Arial"/>
                <w:noProof/>
                <w:sz w:val="24"/>
                <w:szCs w:val="24"/>
              </w:rPr>
              <w:t>2.3.1. Prijava tražbina</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_Toc507067622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25</w:t>
            </w:r>
            <w:r w:rsidRPr="00281FC4">
              <w:rPr>
                <w:rFonts w:ascii="Arial" w:hAnsi="Arial" w:cs="Arial"/>
                <w:noProof/>
                <w:webHidden/>
                <w:sz w:val="24"/>
                <w:szCs w:val="24"/>
              </w:rPr>
              <w:fldChar w:fldCharType="end"/>
            </w:r>
          </w:hyperlink>
        </w:p>
        <w:p w:rsidR="00281FC4" w:rsidRPr="00281FC4" w:rsidRDefault="00281FC4">
          <w:pPr>
            <w:pStyle w:val="Sadraj3"/>
            <w:tabs>
              <w:tab w:val="right" w:leader="dot" w:pos="10456"/>
            </w:tabs>
            <w:rPr>
              <w:rFonts w:ascii="Arial" w:hAnsi="Arial" w:cs="Arial"/>
              <w:noProof/>
              <w:sz w:val="24"/>
              <w:szCs w:val="24"/>
            </w:rPr>
          </w:pPr>
          <w:hyperlink w:anchor="_Toc507067623" w:history="1">
            <w:r w:rsidRPr="00281FC4">
              <w:rPr>
                <w:rStyle w:val="Hiperveza"/>
                <w:rFonts w:ascii="Arial" w:hAnsi="Arial" w:cs="Arial"/>
                <w:noProof/>
                <w:sz w:val="24"/>
                <w:szCs w:val="24"/>
              </w:rPr>
              <w:t>2.3.2. Tražbine radnika</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_Toc507067623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27</w:t>
            </w:r>
            <w:r w:rsidRPr="00281FC4">
              <w:rPr>
                <w:rFonts w:ascii="Arial" w:hAnsi="Arial" w:cs="Arial"/>
                <w:noProof/>
                <w:webHidden/>
                <w:sz w:val="24"/>
                <w:szCs w:val="24"/>
              </w:rPr>
              <w:fldChar w:fldCharType="end"/>
            </w:r>
          </w:hyperlink>
        </w:p>
        <w:p w:rsidR="00281FC4" w:rsidRPr="00281FC4" w:rsidRDefault="00281FC4">
          <w:pPr>
            <w:pStyle w:val="Sadraj3"/>
            <w:tabs>
              <w:tab w:val="right" w:leader="dot" w:pos="10456"/>
            </w:tabs>
            <w:rPr>
              <w:rFonts w:ascii="Arial" w:hAnsi="Arial" w:cs="Arial"/>
              <w:noProof/>
              <w:sz w:val="24"/>
              <w:szCs w:val="24"/>
            </w:rPr>
          </w:pPr>
          <w:hyperlink w:anchor="_Toc507067624" w:history="1">
            <w:r w:rsidRPr="00281FC4">
              <w:rPr>
                <w:rStyle w:val="Hiperveza"/>
                <w:rFonts w:ascii="Arial" w:hAnsi="Arial" w:cs="Arial"/>
                <w:noProof/>
                <w:sz w:val="24"/>
                <w:szCs w:val="24"/>
              </w:rPr>
              <w:t>2.3.3. Jamci</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_Toc507067624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28</w:t>
            </w:r>
            <w:r w:rsidRPr="00281FC4">
              <w:rPr>
                <w:rFonts w:ascii="Arial" w:hAnsi="Arial" w:cs="Arial"/>
                <w:noProof/>
                <w:webHidden/>
                <w:sz w:val="24"/>
                <w:szCs w:val="24"/>
              </w:rPr>
              <w:fldChar w:fldCharType="end"/>
            </w:r>
          </w:hyperlink>
        </w:p>
        <w:p w:rsidR="00281FC4" w:rsidRPr="00281FC4" w:rsidRDefault="00281FC4">
          <w:pPr>
            <w:pStyle w:val="Sadraj3"/>
            <w:tabs>
              <w:tab w:val="right" w:leader="dot" w:pos="10456"/>
            </w:tabs>
            <w:rPr>
              <w:rFonts w:ascii="Arial" w:hAnsi="Arial" w:cs="Arial"/>
              <w:noProof/>
              <w:sz w:val="24"/>
              <w:szCs w:val="24"/>
            </w:rPr>
          </w:pPr>
          <w:hyperlink w:anchor="_Toc507067625" w:history="1">
            <w:r w:rsidRPr="00281FC4">
              <w:rPr>
                <w:rStyle w:val="Hiperveza"/>
                <w:rFonts w:ascii="Arial" w:hAnsi="Arial" w:cs="Arial"/>
                <w:noProof/>
                <w:sz w:val="24"/>
                <w:szCs w:val="24"/>
              </w:rPr>
              <w:t>2.3.4. Razlučni i izlučni vjerovnici</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_Toc507067625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32</w:t>
            </w:r>
            <w:r w:rsidRPr="00281FC4">
              <w:rPr>
                <w:rFonts w:ascii="Arial" w:hAnsi="Arial" w:cs="Arial"/>
                <w:noProof/>
                <w:webHidden/>
                <w:sz w:val="24"/>
                <w:szCs w:val="24"/>
              </w:rPr>
              <w:fldChar w:fldCharType="end"/>
            </w:r>
          </w:hyperlink>
        </w:p>
        <w:p w:rsidR="00281FC4" w:rsidRPr="00281FC4" w:rsidRDefault="00281FC4">
          <w:pPr>
            <w:pStyle w:val="Sadraj3"/>
            <w:tabs>
              <w:tab w:val="right" w:leader="dot" w:pos="10456"/>
            </w:tabs>
            <w:rPr>
              <w:rFonts w:ascii="Arial" w:hAnsi="Arial" w:cs="Arial"/>
              <w:noProof/>
              <w:sz w:val="24"/>
              <w:szCs w:val="24"/>
            </w:rPr>
          </w:pPr>
          <w:hyperlink w:anchor="_Toc507067626" w:history="1">
            <w:r w:rsidRPr="00281FC4">
              <w:rPr>
                <w:rStyle w:val="Hiperveza"/>
                <w:rFonts w:ascii="Arial" w:hAnsi="Arial" w:cs="Arial"/>
                <w:noProof/>
                <w:sz w:val="24"/>
                <w:szCs w:val="24"/>
              </w:rPr>
              <w:t>2.3.5. Naknada za prijavljene tražbine</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_Toc507067626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34</w:t>
            </w:r>
            <w:r w:rsidRPr="00281FC4">
              <w:rPr>
                <w:rFonts w:ascii="Arial" w:hAnsi="Arial" w:cs="Arial"/>
                <w:noProof/>
                <w:webHidden/>
                <w:sz w:val="24"/>
                <w:szCs w:val="24"/>
              </w:rPr>
              <w:fldChar w:fldCharType="end"/>
            </w:r>
          </w:hyperlink>
        </w:p>
        <w:p w:rsidR="00281FC4" w:rsidRPr="00281FC4" w:rsidRDefault="00281FC4">
          <w:pPr>
            <w:pStyle w:val="Sadraj3"/>
            <w:tabs>
              <w:tab w:val="right" w:leader="dot" w:pos="10456"/>
            </w:tabs>
            <w:rPr>
              <w:rFonts w:ascii="Arial" w:hAnsi="Arial" w:cs="Arial"/>
              <w:noProof/>
              <w:sz w:val="24"/>
              <w:szCs w:val="24"/>
            </w:rPr>
          </w:pPr>
          <w:hyperlink w:anchor="_Toc507067627" w:history="1">
            <w:r w:rsidRPr="00281FC4">
              <w:rPr>
                <w:rStyle w:val="Hiperveza"/>
                <w:rFonts w:ascii="Arial" w:hAnsi="Arial" w:cs="Arial"/>
                <w:noProof/>
                <w:sz w:val="24"/>
                <w:szCs w:val="24"/>
              </w:rPr>
              <w:t>2.3.6. Očitovanje o prijavljenim tražbinama</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_Toc507067627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35</w:t>
            </w:r>
            <w:r w:rsidRPr="00281FC4">
              <w:rPr>
                <w:rFonts w:ascii="Arial" w:hAnsi="Arial" w:cs="Arial"/>
                <w:noProof/>
                <w:webHidden/>
                <w:sz w:val="24"/>
                <w:szCs w:val="24"/>
              </w:rPr>
              <w:fldChar w:fldCharType="end"/>
            </w:r>
          </w:hyperlink>
        </w:p>
        <w:p w:rsidR="00281FC4" w:rsidRPr="00281FC4" w:rsidRDefault="00281FC4">
          <w:pPr>
            <w:pStyle w:val="Sadraj3"/>
            <w:tabs>
              <w:tab w:val="right" w:leader="dot" w:pos="10456"/>
            </w:tabs>
            <w:rPr>
              <w:rFonts w:ascii="Arial" w:hAnsi="Arial" w:cs="Arial"/>
              <w:noProof/>
              <w:sz w:val="24"/>
              <w:szCs w:val="24"/>
            </w:rPr>
          </w:pPr>
          <w:hyperlink w:anchor="_Toc507067628" w:history="1">
            <w:r w:rsidRPr="00281FC4">
              <w:rPr>
                <w:rStyle w:val="Hiperveza"/>
                <w:rFonts w:ascii="Arial" w:hAnsi="Arial" w:cs="Arial"/>
                <w:noProof/>
                <w:sz w:val="24"/>
                <w:szCs w:val="24"/>
              </w:rPr>
              <w:t>2.3.7. Osporavanje tražbine</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_Toc507067628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35</w:t>
            </w:r>
            <w:r w:rsidRPr="00281FC4">
              <w:rPr>
                <w:rFonts w:ascii="Arial" w:hAnsi="Arial" w:cs="Arial"/>
                <w:noProof/>
                <w:webHidden/>
                <w:sz w:val="24"/>
                <w:szCs w:val="24"/>
              </w:rPr>
              <w:fldChar w:fldCharType="end"/>
            </w:r>
          </w:hyperlink>
        </w:p>
        <w:p w:rsidR="00281FC4" w:rsidRPr="00281FC4" w:rsidRDefault="00281FC4">
          <w:pPr>
            <w:pStyle w:val="Sadraj3"/>
            <w:tabs>
              <w:tab w:val="right" w:leader="dot" w:pos="10456"/>
            </w:tabs>
            <w:rPr>
              <w:rFonts w:ascii="Arial" w:hAnsi="Arial" w:cs="Arial"/>
              <w:noProof/>
              <w:sz w:val="24"/>
              <w:szCs w:val="24"/>
            </w:rPr>
          </w:pPr>
          <w:hyperlink w:anchor="_Toc507067629" w:history="1">
            <w:r w:rsidRPr="00281FC4">
              <w:rPr>
                <w:rStyle w:val="Hiperveza"/>
                <w:rFonts w:ascii="Arial" w:hAnsi="Arial" w:cs="Arial"/>
                <w:noProof/>
                <w:sz w:val="24"/>
                <w:szCs w:val="24"/>
              </w:rPr>
              <w:t>2.3.8. Tablica prijavljenih tražbina i tablica osporenih tražbina</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_Toc507067629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35</w:t>
            </w:r>
            <w:r w:rsidRPr="00281FC4">
              <w:rPr>
                <w:rFonts w:ascii="Arial" w:hAnsi="Arial" w:cs="Arial"/>
                <w:noProof/>
                <w:webHidden/>
                <w:sz w:val="24"/>
                <w:szCs w:val="24"/>
              </w:rPr>
              <w:fldChar w:fldCharType="end"/>
            </w:r>
          </w:hyperlink>
        </w:p>
        <w:p w:rsidR="00281FC4" w:rsidRPr="00281FC4" w:rsidRDefault="00281FC4">
          <w:pPr>
            <w:pStyle w:val="Sadraj3"/>
            <w:tabs>
              <w:tab w:val="right" w:leader="dot" w:pos="10456"/>
            </w:tabs>
            <w:rPr>
              <w:rFonts w:ascii="Arial" w:hAnsi="Arial" w:cs="Arial"/>
              <w:noProof/>
              <w:sz w:val="24"/>
              <w:szCs w:val="24"/>
            </w:rPr>
          </w:pPr>
          <w:hyperlink w:anchor="_Toc507067630" w:history="1">
            <w:r w:rsidRPr="00281FC4">
              <w:rPr>
                <w:rStyle w:val="Hiperveza"/>
                <w:rFonts w:ascii="Arial" w:hAnsi="Arial" w:cs="Arial"/>
                <w:noProof/>
                <w:sz w:val="24"/>
                <w:szCs w:val="24"/>
              </w:rPr>
              <w:t>2.3.9. Ročište radi ispitivanja tražbina</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_Toc507067630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36</w:t>
            </w:r>
            <w:r w:rsidRPr="00281FC4">
              <w:rPr>
                <w:rFonts w:ascii="Arial" w:hAnsi="Arial" w:cs="Arial"/>
                <w:noProof/>
                <w:webHidden/>
                <w:sz w:val="24"/>
                <w:szCs w:val="24"/>
              </w:rPr>
              <w:fldChar w:fldCharType="end"/>
            </w:r>
          </w:hyperlink>
        </w:p>
        <w:p w:rsidR="00281FC4" w:rsidRPr="00281FC4" w:rsidRDefault="00281FC4">
          <w:pPr>
            <w:pStyle w:val="Sadraj3"/>
            <w:tabs>
              <w:tab w:val="right" w:leader="dot" w:pos="10456"/>
            </w:tabs>
            <w:rPr>
              <w:rFonts w:ascii="Arial" w:hAnsi="Arial" w:cs="Arial"/>
              <w:noProof/>
              <w:sz w:val="24"/>
              <w:szCs w:val="24"/>
            </w:rPr>
          </w:pPr>
          <w:hyperlink w:anchor="_Toc507067631" w:history="1">
            <w:r w:rsidRPr="00281FC4">
              <w:rPr>
                <w:rStyle w:val="Hiperveza"/>
                <w:rFonts w:ascii="Arial" w:hAnsi="Arial" w:cs="Arial"/>
                <w:noProof/>
                <w:sz w:val="24"/>
                <w:szCs w:val="24"/>
              </w:rPr>
              <w:t>2.3.10. Upućivanje na parnicu</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_Toc507067631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37</w:t>
            </w:r>
            <w:r w:rsidRPr="00281FC4">
              <w:rPr>
                <w:rFonts w:ascii="Arial" w:hAnsi="Arial" w:cs="Arial"/>
                <w:noProof/>
                <w:webHidden/>
                <w:sz w:val="24"/>
                <w:szCs w:val="24"/>
              </w:rPr>
              <w:fldChar w:fldCharType="end"/>
            </w:r>
          </w:hyperlink>
        </w:p>
        <w:p w:rsidR="00281FC4" w:rsidRPr="00281FC4" w:rsidRDefault="00281FC4">
          <w:pPr>
            <w:pStyle w:val="Sadraj3"/>
            <w:tabs>
              <w:tab w:val="right" w:leader="dot" w:pos="10456"/>
            </w:tabs>
            <w:rPr>
              <w:rFonts w:ascii="Arial" w:hAnsi="Arial" w:cs="Arial"/>
              <w:noProof/>
              <w:sz w:val="24"/>
              <w:szCs w:val="24"/>
            </w:rPr>
          </w:pPr>
          <w:hyperlink w:anchor="_Toc507067632" w:history="1">
            <w:r w:rsidRPr="00281FC4">
              <w:rPr>
                <w:rStyle w:val="Hiperveza"/>
                <w:rFonts w:ascii="Arial" w:hAnsi="Arial" w:cs="Arial"/>
                <w:noProof/>
                <w:sz w:val="24"/>
                <w:szCs w:val="24"/>
              </w:rPr>
              <w:t>2.3.11. Tablica ispitanih tražbina i razlučnih prava</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_Toc507067632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38</w:t>
            </w:r>
            <w:r w:rsidRPr="00281FC4">
              <w:rPr>
                <w:rFonts w:ascii="Arial" w:hAnsi="Arial" w:cs="Arial"/>
                <w:noProof/>
                <w:webHidden/>
                <w:sz w:val="24"/>
                <w:szCs w:val="24"/>
              </w:rPr>
              <w:fldChar w:fldCharType="end"/>
            </w:r>
          </w:hyperlink>
        </w:p>
        <w:p w:rsidR="00281FC4" w:rsidRPr="00281FC4" w:rsidRDefault="00281FC4">
          <w:pPr>
            <w:pStyle w:val="Sadraj3"/>
            <w:tabs>
              <w:tab w:val="right" w:leader="dot" w:pos="10456"/>
            </w:tabs>
            <w:rPr>
              <w:rFonts w:ascii="Arial" w:hAnsi="Arial" w:cs="Arial"/>
              <w:noProof/>
              <w:sz w:val="24"/>
              <w:szCs w:val="24"/>
            </w:rPr>
          </w:pPr>
          <w:hyperlink w:anchor="_Toc507067633" w:history="1">
            <w:r w:rsidRPr="00281FC4">
              <w:rPr>
                <w:rStyle w:val="Hiperveza"/>
                <w:rFonts w:ascii="Arial" w:hAnsi="Arial" w:cs="Arial"/>
                <w:noProof/>
                <w:sz w:val="24"/>
                <w:szCs w:val="24"/>
              </w:rPr>
              <w:t>2.3.12. Rješenje o utvrđenim tražbinama</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_Toc507067633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38</w:t>
            </w:r>
            <w:r w:rsidRPr="00281FC4">
              <w:rPr>
                <w:rFonts w:ascii="Arial" w:hAnsi="Arial" w:cs="Arial"/>
                <w:noProof/>
                <w:webHidden/>
                <w:sz w:val="24"/>
                <w:szCs w:val="24"/>
              </w:rPr>
              <w:fldChar w:fldCharType="end"/>
            </w:r>
          </w:hyperlink>
        </w:p>
        <w:p w:rsidR="00281FC4" w:rsidRPr="00281FC4" w:rsidRDefault="00281FC4">
          <w:pPr>
            <w:pStyle w:val="Sadraj2"/>
            <w:tabs>
              <w:tab w:val="right" w:leader="dot" w:pos="10456"/>
            </w:tabs>
            <w:rPr>
              <w:rFonts w:ascii="Arial" w:hAnsi="Arial" w:cs="Arial"/>
              <w:noProof/>
              <w:sz w:val="24"/>
              <w:szCs w:val="24"/>
            </w:rPr>
          </w:pPr>
          <w:hyperlink w:anchor="_Toc507067634" w:history="1">
            <w:r w:rsidRPr="00281FC4">
              <w:rPr>
                <w:rStyle w:val="Hiperveza"/>
                <w:rFonts w:ascii="Arial" w:hAnsi="Arial" w:cs="Arial"/>
                <w:noProof/>
                <w:sz w:val="24"/>
                <w:szCs w:val="24"/>
              </w:rPr>
              <w:t>2.4.  Odlučivanje o obustavi predstečajnog postupka</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_Toc507067634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39</w:t>
            </w:r>
            <w:r w:rsidRPr="00281FC4">
              <w:rPr>
                <w:rFonts w:ascii="Arial" w:hAnsi="Arial" w:cs="Arial"/>
                <w:noProof/>
                <w:webHidden/>
                <w:sz w:val="24"/>
                <w:szCs w:val="24"/>
              </w:rPr>
              <w:fldChar w:fldCharType="end"/>
            </w:r>
          </w:hyperlink>
        </w:p>
        <w:p w:rsidR="00281FC4" w:rsidRPr="00281FC4" w:rsidRDefault="00281FC4">
          <w:pPr>
            <w:pStyle w:val="Sadraj1"/>
            <w:tabs>
              <w:tab w:val="right" w:leader="dot" w:pos="10456"/>
            </w:tabs>
            <w:rPr>
              <w:rFonts w:ascii="Arial" w:hAnsi="Arial" w:cs="Arial"/>
              <w:noProof/>
              <w:sz w:val="24"/>
              <w:szCs w:val="24"/>
            </w:rPr>
          </w:pPr>
          <w:hyperlink w:anchor="_Toc507067635" w:history="1">
            <w:r w:rsidRPr="00281FC4">
              <w:rPr>
                <w:rStyle w:val="Hiperveza"/>
                <w:rFonts w:ascii="Arial" w:hAnsi="Arial" w:cs="Arial"/>
                <w:noProof/>
                <w:sz w:val="24"/>
                <w:szCs w:val="24"/>
              </w:rPr>
              <w:t>3. RASPRAVLJANJE I GLASOVANJE O PLANU RESTRUKTURIRANJA</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_Toc507067635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40</w:t>
            </w:r>
            <w:r w:rsidRPr="00281FC4">
              <w:rPr>
                <w:rFonts w:ascii="Arial" w:hAnsi="Arial" w:cs="Arial"/>
                <w:noProof/>
                <w:webHidden/>
                <w:sz w:val="24"/>
                <w:szCs w:val="24"/>
              </w:rPr>
              <w:fldChar w:fldCharType="end"/>
            </w:r>
          </w:hyperlink>
        </w:p>
        <w:p w:rsidR="00281FC4" w:rsidRPr="00281FC4" w:rsidRDefault="00281FC4">
          <w:pPr>
            <w:pStyle w:val="Sadraj2"/>
            <w:tabs>
              <w:tab w:val="right" w:leader="dot" w:pos="10456"/>
            </w:tabs>
            <w:rPr>
              <w:rFonts w:ascii="Arial" w:hAnsi="Arial" w:cs="Arial"/>
              <w:noProof/>
              <w:sz w:val="24"/>
              <w:szCs w:val="24"/>
            </w:rPr>
          </w:pPr>
          <w:hyperlink w:anchor="_Toc507067636" w:history="1">
            <w:r w:rsidRPr="00281FC4">
              <w:rPr>
                <w:rStyle w:val="Hiperveza"/>
                <w:rFonts w:ascii="Arial" w:hAnsi="Arial" w:cs="Arial"/>
                <w:noProof/>
                <w:sz w:val="24"/>
                <w:szCs w:val="24"/>
              </w:rPr>
              <w:t>3.1. Sadržaj prijedloga plana restrukturiranja</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_Toc507067636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40</w:t>
            </w:r>
            <w:r w:rsidRPr="00281FC4">
              <w:rPr>
                <w:rFonts w:ascii="Arial" w:hAnsi="Arial" w:cs="Arial"/>
                <w:noProof/>
                <w:webHidden/>
                <w:sz w:val="24"/>
                <w:szCs w:val="24"/>
              </w:rPr>
              <w:fldChar w:fldCharType="end"/>
            </w:r>
          </w:hyperlink>
        </w:p>
        <w:p w:rsidR="00281FC4" w:rsidRPr="00281FC4" w:rsidRDefault="00281FC4">
          <w:pPr>
            <w:pStyle w:val="Sadraj2"/>
            <w:tabs>
              <w:tab w:val="right" w:leader="dot" w:pos="10456"/>
            </w:tabs>
            <w:rPr>
              <w:rFonts w:ascii="Arial" w:hAnsi="Arial" w:cs="Arial"/>
              <w:noProof/>
              <w:sz w:val="24"/>
              <w:szCs w:val="24"/>
            </w:rPr>
          </w:pPr>
          <w:hyperlink w:anchor="_Toc507067637" w:history="1">
            <w:r w:rsidRPr="00281FC4">
              <w:rPr>
                <w:rStyle w:val="Hiperveza"/>
                <w:rFonts w:ascii="Arial" w:hAnsi="Arial" w:cs="Arial"/>
                <w:noProof/>
                <w:sz w:val="24"/>
                <w:szCs w:val="24"/>
              </w:rPr>
              <w:t>3.2.  Ročište za glasovanje o prijedlogu planu restrukturiranja</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_Toc507067637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41</w:t>
            </w:r>
            <w:r w:rsidRPr="00281FC4">
              <w:rPr>
                <w:rFonts w:ascii="Arial" w:hAnsi="Arial" w:cs="Arial"/>
                <w:noProof/>
                <w:webHidden/>
                <w:sz w:val="24"/>
                <w:szCs w:val="24"/>
              </w:rPr>
              <w:fldChar w:fldCharType="end"/>
            </w:r>
          </w:hyperlink>
        </w:p>
        <w:p w:rsidR="00281FC4" w:rsidRPr="00281FC4" w:rsidRDefault="00281FC4">
          <w:pPr>
            <w:pStyle w:val="Sadraj2"/>
            <w:tabs>
              <w:tab w:val="right" w:leader="dot" w:pos="10456"/>
            </w:tabs>
            <w:rPr>
              <w:rFonts w:ascii="Arial" w:hAnsi="Arial" w:cs="Arial"/>
              <w:noProof/>
              <w:sz w:val="24"/>
              <w:szCs w:val="24"/>
            </w:rPr>
          </w:pPr>
          <w:hyperlink w:anchor="_Toc507067638" w:history="1">
            <w:r w:rsidRPr="00281FC4">
              <w:rPr>
                <w:rStyle w:val="Hiperveza"/>
                <w:rFonts w:ascii="Arial" w:hAnsi="Arial" w:cs="Arial"/>
                <w:noProof/>
                <w:sz w:val="24"/>
                <w:szCs w:val="24"/>
              </w:rPr>
              <w:t>3.3. Potvrda predstečajnog sporazuma</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_Toc507067638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43</w:t>
            </w:r>
            <w:r w:rsidRPr="00281FC4">
              <w:rPr>
                <w:rFonts w:ascii="Arial" w:hAnsi="Arial" w:cs="Arial"/>
                <w:noProof/>
                <w:webHidden/>
                <w:sz w:val="24"/>
                <w:szCs w:val="24"/>
              </w:rPr>
              <w:fldChar w:fldCharType="end"/>
            </w:r>
          </w:hyperlink>
        </w:p>
        <w:p w:rsidR="00281FC4" w:rsidRPr="00281FC4" w:rsidRDefault="00281FC4">
          <w:pPr>
            <w:pStyle w:val="Sadraj2"/>
            <w:tabs>
              <w:tab w:val="right" w:leader="dot" w:pos="10456"/>
            </w:tabs>
            <w:rPr>
              <w:rFonts w:ascii="Arial" w:hAnsi="Arial" w:cs="Arial"/>
              <w:noProof/>
              <w:sz w:val="24"/>
              <w:szCs w:val="24"/>
            </w:rPr>
          </w:pPr>
          <w:hyperlink w:anchor="_Toc507067639" w:history="1">
            <w:r w:rsidRPr="00281FC4">
              <w:rPr>
                <w:rStyle w:val="Hiperveza"/>
                <w:rFonts w:ascii="Arial" w:hAnsi="Arial" w:cs="Arial"/>
                <w:noProof/>
                <w:sz w:val="24"/>
                <w:szCs w:val="24"/>
              </w:rPr>
              <w:t>3.4. Učinci potvrđenoga predstečajnog sporazuma i nadzor nad njegovim ispunjenjem</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_Toc507067639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44</w:t>
            </w:r>
            <w:r w:rsidRPr="00281FC4">
              <w:rPr>
                <w:rFonts w:ascii="Arial" w:hAnsi="Arial" w:cs="Arial"/>
                <w:noProof/>
                <w:webHidden/>
                <w:sz w:val="24"/>
                <w:szCs w:val="24"/>
              </w:rPr>
              <w:fldChar w:fldCharType="end"/>
            </w:r>
          </w:hyperlink>
        </w:p>
        <w:p w:rsidR="00281FC4" w:rsidRPr="00281FC4" w:rsidRDefault="00281FC4">
          <w:pPr>
            <w:pStyle w:val="Sadraj3"/>
            <w:tabs>
              <w:tab w:val="right" w:leader="dot" w:pos="10456"/>
            </w:tabs>
            <w:rPr>
              <w:rFonts w:ascii="Arial" w:hAnsi="Arial" w:cs="Arial"/>
              <w:noProof/>
              <w:sz w:val="24"/>
              <w:szCs w:val="24"/>
            </w:rPr>
          </w:pPr>
          <w:hyperlink w:anchor="_Toc507067640" w:history="1">
            <w:r w:rsidRPr="00281FC4">
              <w:rPr>
                <w:rStyle w:val="Hiperveza"/>
                <w:rFonts w:ascii="Arial" w:hAnsi="Arial" w:cs="Arial"/>
                <w:noProof/>
                <w:sz w:val="24"/>
                <w:szCs w:val="24"/>
              </w:rPr>
              <w:t>3.4.1.Učinak rješenja o potvrdi predstečajnog sporazuma na odgovornost jamca</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_Toc507067640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45</w:t>
            </w:r>
            <w:r w:rsidRPr="00281FC4">
              <w:rPr>
                <w:rFonts w:ascii="Arial" w:hAnsi="Arial" w:cs="Arial"/>
                <w:noProof/>
                <w:webHidden/>
                <w:sz w:val="24"/>
                <w:szCs w:val="24"/>
              </w:rPr>
              <w:fldChar w:fldCharType="end"/>
            </w:r>
          </w:hyperlink>
        </w:p>
        <w:p w:rsidR="00281FC4" w:rsidRPr="00281FC4" w:rsidRDefault="00281FC4">
          <w:pPr>
            <w:pStyle w:val="Sadraj1"/>
            <w:tabs>
              <w:tab w:val="right" w:leader="dot" w:pos="10456"/>
            </w:tabs>
            <w:rPr>
              <w:rFonts w:ascii="Arial" w:hAnsi="Arial" w:cs="Arial"/>
              <w:noProof/>
              <w:sz w:val="24"/>
              <w:szCs w:val="24"/>
            </w:rPr>
          </w:pPr>
          <w:hyperlink w:anchor="_Toc507067641" w:history="1">
            <w:r w:rsidRPr="00281FC4">
              <w:rPr>
                <w:rStyle w:val="Hiperveza"/>
                <w:rFonts w:ascii="Arial" w:hAnsi="Arial" w:cs="Arial"/>
                <w:noProof/>
                <w:sz w:val="24"/>
                <w:szCs w:val="24"/>
              </w:rPr>
              <w:t xml:space="preserve">4. </w:t>
            </w:r>
            <w:r w:rsidRPr="00281FC4">
              <w:rPr>
                <w:rStyle w:val="Hiperveza"/>
                <w:rFonts w:ascii="Arial" w:hAnsi="Arial" w:cs="Arial"/>
                <w:noProof/>
                <w:sz w:val="24"/>
                <w:szCs w:val="24"/>
                <w:lang w:val="x-none"/>
              </w:rPr>
              <w:t>P</w:t>
            </w:r>
            <w:r w:rsidRPr="00281FC4">
              <w:rPr>
                <w:rStyle w:val="Hiperveza"/>
                <w:rFonts w:ascii="Arial" w:hAnsi="Arial" w:cs="Arial"/>
                <w:noProof/>
                <w:sz w:val="24"/>
                <w:szCs w:val="24"/>
              </w:rPr>
              <w:t>RAVNE POSLJEDICE OTVARANJA PREDSTEČAJNOG POSTUPKA</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_Toc507067641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46</w:t>
            </w:r>
            <w:r w:rsidRPr="00281FC4">
              <w:rPr>
                <w:rFonts w:ascii="Arial" w:hAnsi="Arial" w:cs="Arial"/>
                <w:noProof/>
                <w:webHidden/>
                <w:sz w:val="24"/>
                <w:szCs w:val="24"/>
              </w:rPr>
              <w:fldChar w:fldCharType="end"/>
            </w:r>
          </w:hyperlink>
        </w:p>
        <w:p w:rsidR="00281FC4" w:rsidRPr="00281FC4" w:rsidRDefault="00281FC4">
          <w:pPr>
            <w:pStyle w:val="Sadraj2"/>
            <w:tabs>
              <w:tab w:val="right" w:leader="dot" w:pos="10456"/>
            </w:tabs>
            <w:rPr>
              <w:rFonts w:ascii="Arial" w:hAnsi="Arial" w:cs="Arial"/>
              <w:noProof/>
              <w:sz w:val="24"/>
              <w:szCs w:val="24"/>
            </w:rPr>
          </w:pPr>
          <w:hyperlink w:anchor="_Toc507067642" w:history="1">
            <w:r w:rsidRPr="00281FC4">
              <w:rPr>
                <w:rStyle w:val="Hiperveza"/>
                <w:rFonts w:ascii="Arial" w:hAnsi="Arial" w:cs="Arial"/>
                <w:noProof/>
                <w:sz w:val="24"/>
                <w:szCs w:val="24"/>
              </w:rPr>
              <w:t>4.1. Nastupanje pravnih posljedica</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_Toc507067642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47</w:t>
            </w:r>
            <w:r w:rsidRPr="00281FC4">
              <w:rPr>
                <w:rFonts w:ascii="Arial" w:hAnsi="Arial" w:cs="Arial"/>
                <w:noProof/>
                <w:webHidden/>
                <w:sz w:val="24"/>
                <w:szCs w:val="24"/>
              </w:rPr>
              <w:fldChar w:fldCharType="end"/>
            </w:r>
          </w:hyperlink>
        </w:p>
        <w:p w:rsidR="00281FC4" w:rsidRPr="00281FC4" w:rsidRDefault="00281FC4">
          <w:pPr>
            <w:pStyle w:val="Sadraj2"/>
            <w:tabs>
              <w:tab w:val="right" w:leader="dot" w:pos="10456"/>
            </w:tabs>
            <w:rPr>
              <w:rFonts w:ascii="Arial" w:hAnsi="Arial" w:cs="Arial"/>
              <w:noProof/>
              <w:sz w:val="24"/>
              <w:szCs w:val="24"/>
            </w:rPr>
          </w:pPr>
          <w:hyperlink w:anchor="_Toc507067643" w:history="1">
            <w:r w:rsidRPr="00281FC4">
              <w:rPr>
                <w:rStyle w:val="Hiperveza"/>
                <w:rFonts w:ascii="Arial" w:hAnsi="Arial" w:cs="Arial"/>
                <w:noProof/>
                <w:sz w:val="24"/>
                <w:szCs w:val="24"/>
              </w:rPr>
              <w:t>4.2. Prava na koja predstečajni postupak ne utječe</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_Toc507067643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47</w:t>
            </w:r>
            <w:r w:rsidRPr="00281FC4">
              <w:rPr>
                <w:rFonts w:ascii="Arial" w:hAnsi="Arial" w:cs="Arial"/>
                <w:noProof/>
                <w:webHidden/>
                <w:sz w:val="24"/>
                <w:szCs w:val="24"/>
              </w:rPr>
              <w:fldChar w:fldCharType="end"/>
            </w:r>
          </w:hyperlink>
        </w:p>
        <w:p w:rsidR="00281FC4" w:rsidRPr="00281FC4" w:rsidRDefault="00281FC4">
          <w:pPr>
            <w:pStyle w:val="Sadraj2"/>
            <w:tabs>
              <w:tab w:val="right" w:leader="dot" w:pos="10456"/>
            </w:tabs>
            <w:rPr>
              <w:rFonts w:ascii="Arial" w:hAnsi="Arial" w:cs="Arial"/>
              <w:noProof/>
              <w:sz w:val="24"/>
              <w:szCs w:val="24"/>
            </w:rPr>
          </w:pPr>
          <w:hyperlink w:anchor="_Toc507067644" w:history="1">
            <w:r w:rsidRPr="00281FC4">
              <w:rPr>
                <w:rStyle w:val="Hiperveza"/>
                <w:rFonts w:ascii="Arial" w:hAnsi="Arial" w:cs="Arial"/>
                <w:noProof/>
                <w:sz w:val="24"/>
                <w:szCs w:val="24"/>
              </w:rPr>
              <w:t>4.3.  Poslovanje dužnika od otvaranja predstečajnog postupka</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_Toc507067644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48</w:t>
            </w:r>
            <w:r w:rsidRPr="00281FC4">
              <w:rPr>
                <w:rFonts w:ascii="Arial" w:hAnsi="Arial" w:cs="Arial"/>
                <w:noProof/>
                <w:webHidden/>
                <w:sz w:val="24"/>
                <w:szCs w:val="24"/>
              </w:rPr>
              <w:fldChar w:fldCharType="end"/>
            </w:r>
          </w:hyperlink>
        </w:p>
        <w:p w:rsidR="00281FC4" w:rsidRPr="00281FC4" w:rsidRDefault="00281FC4">
          <w:pPr>
            <w:pStyle w:val="Sadraj2"/>
            <w:tabs>
              <w:tab w:val="right" w:leader="dot" w:pos="10456"/>
            </w:tabs>
            <w:rPr>
              <w:rFonts w:ascii="Arial" w:hAnsi="Arial" w:cs="Arial"/>
              <w:noProof/>
              <w:sz w:val="24"/>
              <w:szCs w:val="24"/>
            </w:rPr>
          </w:pPr>
          <w:hyperlink w:anchor="_Toc507067645" w:history="1">
            <w:r w:rsidRPr="00281FC4">
              <w:rPr>
                <w:rStyle w:val="Hiperveza"/>
                <w:rFonts w:ascii="Arial" w:hAnsi="Arial" w:cs="Arial"/>
                <w:noProof/>
                <w:sz w:val="24"/>
                <w:szCs w:val="24"/>
              </w:rPr>
              <w:t>4.4. Preuzimanje novog zaduženja u novcu radi privremenog financiranja</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_Toc507067645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48</w:t>
            </w:r>
            <w:r w:rsidRPr="00281FC4">
              <w:rPr>
                <w:rFonts w:ascii="Arial" w:hAnsi="Arial" w:cs="Arial"/>
                <w:noProof/>
                <w:webHidden/>
                <w:sz w:val="24"/>
                <w:szCs w:val="24"/>
              </w:rPr>
              <w:fldChar w:fldCharType="end"/>
            </w:r>
          </w:hyperlink>
        </w:p>
        <w:p w:rsidR="00281FC4" w:rsidRPr="00281FC4" w:rsidRDefault="00281FC4">
          <w:pPr>
            <w:pStyle w:val="Sadraj2"/>
            <w:tabs>
              <w:tab w:val="right" w:leader="dot" w:pos="10456"/>
            </w:tabs>
            <w:rPr>
              <w:rFonts w:ascii="Arial" w:hAnsi="Arial" w:cs="Arial"/>
              <w:noProof/>
              <w:sz w:val="24"/>
              <w:szCs w:val="24"/>
            </w:rPr>
          </w:pPr>
          <w:hyperlink w:anchor="_Toc507067646" w:history="1">
            <w:r w:rsidRPr="00281FC4">
              <w:rPr>
                <w:rStyle w:val="Hiperveza"/>
                <w:rFonts w:ascii="Arial" w:hAnsi="Arial" w:cs="Arial"/>
                <w:noProof/>
                <w:sz w:val="24"/>
                <w:szCs w:val="24"/>
              </w:rPr>
              <w:t>4.5. Zabrana pokretanja i vođenja parničnih, ovršnih, upravnih i postupaka osiguranja</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_Toc507067646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49</w:t>
            </w:r>
            <w:r w:rsidRPr="00281FC4">
              <w:rPr>
                <w:rFonts w:ascii="Arial" w:hAnsi="Arial" w:cs="Arial"/>
                <w:noProof/>
                <w:webHidden/>
                <w:sz w:val="24"/>
                <w:szCs w:val="24"/>
              </w:rPr>
              <w:fldChar w:fldCharType="end"/>
            </w:r>
          </w:hyperlink>
        </w:p>
        <w:p w:rsidR="00281FC4" w:rsidRPr="00281FC4" w:rsidRDefault="00281FC4">
          <w:pPr>
            <w:pStyle w:val="Sadraj2"/>
            <w:tabs>
              <w:tab w:val="right" w:leader="dot" w:pos="10456"/>
            </w:tabs>
            <w:rPr>
              <w:rFonts w:ascii="Arial" w:hAnsi="Arial" w:cs="Arial"/>
              <w:noProof/>
              <w:sz w:val="24"/>
              <w:szCs w:val="24"/>
            </w:rPr>
          </w:pPr>
          <w:hyperlink w:anchor="_Toc507067647" w:history="1">
            <w:r w:rsidRPr="00281FC4">
              <w:rPr>
                <w:rStyle w:val="Hiperveza"/>
                <w:rFonts w:ascii="Arial" w:hAnsi="Arial" w:cs="Arial"/>
                <w:noProof/>
                <w:sz w:val="24"/>
                <w:szCs w:val="24"/>
              </w:rPr>
              <w:t>4.6. Postupanje FINA-e s osnovama za plaćanje nakon otvaranja predstečajnog postupka</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_Toc507067647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49</w:t>
            </w:r>
            <w:r w:rsidRPr="00281FC4">
              <w:rPr>
                <w:rFonts w:ascii="Arial" w:hAnsi="Arial" w:cs="Arial"/>
                <w:noProof/>
                <w:webHidden/>
                <w:sz w:val="24"/>
                <w:szCs w:val="24"/>
              </w:rPr>
              <w:fldChar w:fldCharType="end"/>
            </w:r>
          </w:hyperlink>
        </w:p>
        <w:p w:rsidR="00281FC4" w:rsidRPr="00281FC4" w:rsidRDefault="00281FC4">
          <w:pPr>
            <w:pStyle w:val="Sadraj2"/>
            <w:tabs>
              <w:tab w:val="right" w:leader="dot" w:pos="10456"/>
            </w:tabs>
            <w:rPr>
              <w:rFonts w:ascii="Arial" w:hAnsi="Arial" w:cs="Arial"/>
              <w:noProof/>
              <w:sz w:val="24"/>
              <w:szCs w:val="24"/>
            </w:rPr>
          </w:pPr>
          <w:hyperlink w:anchor="_Toc507067648" w:history="1">
            <w:r w:rsidRPr="00281FC4">
              <w:rPr>
                <w:rStyle w:val="Hiperveza"/>
                <w:rFonts w:ascii="Arial" w:hAnsi="Arial" w:cs="Arial"/>
                <w:noProof/>
                <w:sz w:val="24"/>
                <w:szCs w:val="24"/>
              </w:rPr>
              <w:t>4.7. Postupanje FINA-e s osnovama za plaćanje nakon obustave predstečajnog postupka</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_Toc507067648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50</w:t>
            </w:r>
            <w:r w:rsidRPr="00281FC4">
              <w:rPr>
                <w:rFonts w:ascii="Arial" w:hAnsi="Arial" w:cs="Arial"/>
                <w:noProof/>
                <w:webHidden/>
                <w:sz w:val="24"/>
                <w:szCs w:val="24"/>
              </w:rPr>
              <w:fldChar w:fldCharType="end"/>
            </w:r>
          </w:hyperlink>
        </w:p>
        <w:p w:rsidR="00281FC4" w:rsidRPr="00281FC4" w:rsidRDefault="00281FC4">
          <w:pPr>
            <w:pStyle w:val="Sadraj2"/>
            <w:tabs>
              <w:tab w:val="right" w:leader="dot" w:pos="10456"/>
            </w:tabs>
            <w:rPr>
              <w:rFonts w:ascii="Arial" w:hAnsi="Arial" w:cs="Arial"/>
              <w:noProof/>
              <w:sz w:val="24"/>
              <w:szCs w:val="24"/>
            </w:rPr>
          </w:pPr>
          <w:hyperlink w:anchor="_Toc507067649" w:history="1">
            <w:r w:rsidRPr="00281FC4">
              <w:rPr>
                <w:rStyle w:val="Hiperveza"/>
                <w:rFonts w:ascii="Arial" w:hAnsi="Arial" w:cs="Arial"/>
                <w:noProof/>
                <w:sz w:val="24"/>
                <w:szCs w:val="24"/>
              </w:rPr>
              <w:t>4.8. Postupanje FINA-e s osnovama za plaćanje nakon pravomoćnosti rješenja o potvrdi predstečajnog sporazuma</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_Toc507067649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50</w:t>
            </w:r>
            <w:r w:rsidRPr="00281FC4">
              <w:rPr>
                <w:rFonts w:ascii="Arial" w:hAnsi="Arial" w:cs="Arial"/>
                <w:noProof/>
                <w:webHidden/>
                <w:sz w:val="24"/>
                <w:szCs w:val="24"/>
              </w:rPr>
              <w:fldChar w:fldCharType="end"/>
            </w:r>
          </w:hyperlink>
        </w:p>
        <w:p w:rsidR="00281FC4" w:rsidRPr="00281FC4" w:rsidRDefault="00281FC4">
          <w:pPr>
            <w:pStyle w:val="Sadraj2"/>
            <w:tabs>
              <w:tab w:val="right" w:leader="dot" w:pos="10456"/>
            </w:tabs>
            <w:rPr>
              <w:rFonts w:ascii="Arial" w:hAnsi="Arial" w:cs="Arial"/>
              <w:noProof/>
              <w:sz w:val="24"/>
              <w:szCs w:val="24"/>
            </w:rPr>
          </w:pPr>
          <w:hyperlink w:anchor="_Toc507067650" w:history="1">
            <w:r w:rsidRPr="00281FC4">
              <w:rPr>
                <w:rStyle w:val="Hiperveza"/>
                <w:rFonts w:ascii="Arial" w:hAnsi="Arial" w:cs="Arial"/>
                <w:noProof/>
                <w:sz w:val="24"/>
                <w:szCs w:val="24"/>
              </w:rPr>
              <w:t>4.9. Zastara</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_Toc507067650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51</w:t>
            </w:r>
            <w:r w:rsidRPr="00281FC4">
              <w:rPr>
                <w:rFonts w:ascii="Arial" w:hAnsi="Arial" w:cs="Arial"/>
                <w:noProof/>
                <w:webHidden/>
                <w:sz w:val="24"/>
                <w:szCs w:val="24"/>
              </w:rPr>
              <w:fldChar w:fldCharType="end"/>
            </w:r>
          </w:hyperlink>
        </w:p>
        <w:p w:rsidR="00281FC4" w:rsidRPr="00281FC4" w:rsidRDefault="00281FC4">
          <w:pPr>
            <w:pStyle w:val="Sadraj2"/>
            <w:tabs>
              <w:tab w:val="right" w:leader="dot" w:pos="10456"/>
            </w:tabs>
            <w:rPr>
              <w:rFonts w:ascii="Arial" w:hAnsi="Arial" w:cs="Arial"/>
              <w:noProof/>
              <w:sz w:val="24"/>
              <w:szCs w:val="24"/>
            </w:rPr>
          </w:pPr>
          <w:hyperlink w:anchor="_Toc507067651" w:history="1">
            <w:r w:rsidRPr="00281FC4">
              <w:rPr>
                <w:rStyle w:val="Hiperveza"/>
                <w:rFonts w:ascii="Arial" w:hAnsi="Arial" w:cs="Arial"/>
                <w:noProof/>
                <w:sz w:val="24"/>
                <w:szCs w:val="24"/>
              </w:rPr>
              <w:t>4.10. Umanjenje utvrđenih tražbina</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_Toc507067651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51</w:t>
            </w:r>
            <w:r w:rsidRPr="00281FC4">
              <w:rPr>
                <w:rFonts w:ascii="Arial" w:hAnsi="Arial" w:cs="Arial"/>
                <w:noProof/>
                <w:webHidden/>
                <w:sz w:val="24"/>
                <w:szCs w:val="24"/>
              </w:rPr>
              <w:fldChar w:fldCharType="end"/>
            </w:r>
          </w:hyperlink>
        </w:p>
        <w:p w:rsidR="00281FC4" w:rsidRPr="00281FC4" w:rsidRDefault="00281FC4">
          <w:pPr>
            <w:pStyle w:val="Sadraj2"/>
            <w:tabs>
              <w:tab w:val="right" w:leader="dot" w:pos="10456"/>
            </w:tabs>
            <w:rPr>
              <w:rFonts w:ascii="Arial" w:hAnsi="Arial" w:cs="Arial"/>
              <w:noProof/>
              <w:sz w:val="24"/>
              <w:szCs w:val="24"/>
            </w:rPr>
          </w:pPr>
          <w:hyperlink w:anchor="_Toc507067652" w:history="1">
            <w:r w:rsidRPr="00281FC4">
              <w:rPr>
                <w:rStyle w:val="Hiperveza"/>
                <w:rFonts w:ascii="Arial" w:hAnsi="Arial" w:cs="Arial"/>
                <w:noProof/>
                <w:sz w:val="24"/>
                <w:szCs w:val="24"/>
              </w:rPr>
              <w:t>4.11. Pravo na kamate</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_Toc507067652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51</w:t>
            </w:r>
            <w:r w:rsidRPr="00281FC4">
              <w:rPr>
                <w:rFonts w:ascii="Arial" w:hAnsi="Arial" w:cs="Arial"/>
                <w:noProof/>
                <w:webHidden/>
                <w:sz w:val="24"/>
                <w:szCs w:val="24"/>
              </w:rPr>
              <w:fldChar w:fldCharType="end"/>
            </w:r>
          </w:hyperlink>
        </w:p>
        <w:p w:rsidR="00281FC4" w:rsidRDefault="00281FC4">
          <w:pPr>
            <w:pStyle w:val="Sadraj1"/>
            <w:tabs>
              <w:tab w:val="right" w:leader="dot" w:pos="10456"/>
            </w:tabs>
            <w:rPr>
              <w:noProof/>
            </w:rPr>
          </w:pPr>
          <w:hyperlink w:anchor="_Toc507067653" w:history="1">
            <w:r w:rsidRPr="00281FC4">
              <w:rPr>
                <w:rStyle w:val="Hiperveza"/>
                <w:rFonts w:ascii="Arial" w:hAnsi="Arial" w:cs="Arial"/>
                <w:noProof/>
                <w:sz w:val="24"/>
                <w:szCs w:val="24"/>
              </w:rPr>
              <w:t>LITERATURA:</w:t>
            </w:r>
            <w:r w:rsidRPr="00281FC4">
              <w:rPr>
                <w:rFonts w:ascii="Arial" w:hAnsi="Arial" w:cs="Arial"/>
                <w:noProof/>
                <w:webHidden/>
                <w:sz w:val="24"/>
                <w:szCs w:val="24"/>
              </w:rPr>
              <w:tab/>
            </w:r>
            <w:r w:rsidRPr="00281FC4">
              <w:rPr>
                <w:rFonts w:ascii="Arial" w:hAnsi="Arial" w:cs="Arial"/>
                <w:noProof/>
                <w:webHidden/>
                <w:sz w:val="24"/>
                <w:szCs w:val="24"/>
              </w:rPr>
              <w:fldChar w:fldCharType="begin"/>
            </w:r>
            <w:r w:rsidRPr="00281FC4">
              <w:rPr>
                <w:rFonts w:ascii="Arial" w:hAnsi="Arial" w:cs="Arial"/>
                <w:noProof/>
                <w:webHidden/>
                <w:sz w:val="24"/>
                <w:szCs w:val="24"/>
              </w:rPr>
              <w:instrText xml:space="preserve"> PAGEREF _Toc507067653 \h </w:instrText>
            </w:r>
            <w:r w:rsidRPr="00281FC4">
              <w:rPr>
                <w:rFonts w:ascii="Arial" w:hAnsi="Arial" w:cs="Arial"/>
                <w:noProof/>
                <w:webHidden/>
                <w:sz w:val="24"/>
                <w:szCs w:val="24"/>
              </w:rPr>
            </w:r>
            <w:r w:rsidRPr="00281FC4">
              <w:rPr>
                <w:rFonts w:ascii="Arial" w:hAnsi="Arial" w:cs="Arial"/>
                <w:noProof/>
                <w:webHidden/>
                <w:sz w:val="24"/>
                <w:szCs w:val="24"/>
              </w:rPr>
              <w:fldChar w:fldCharType="separate"/>
            </w:r>
            <w:r w:rsidRPr="00281FC4">
              <w:rPr>
                <w:rFonts w:ascii="Arial" w:hAnsi="Arial" w:cs="Arial"/>
                <w:noProof/>
                <w:webHidden/>
                <w:sz w:val="24"/>
                <w:szCs w:val="24"/>
              </w:rPr>
              <w:t>52</w:t>
            </w:r>
            <w:r w:rsidRPr="00281FC4">
              <w:rPr>
                <w:rFonts w:ascii="Arial" w:hAnsi="Arial" w:cs="Arial"/>
                <w:noProof/>
                <w:webHidden/>
                <w:sz w:val="24"/>
                <w:szCs w:val="24"/>
              </w:rPr>
              <w:fldChar w:fldCharType="end"/>
            </w:r>
          </w:hyperlink>
        </w:p>
        <w:p w:rsidR="00281FC4" w:rsidRDefault="00281FC4">
          <w:r>
            <w:rPr>
              <w:b/>
              <w:bCs/>
            </w:rPr>
            <w:fldChar w:fldCharType="end"/>
          </w:r>
        </w:p>
      </w:sdtContent>
    </w:sdt>
    <w:p w:rsidR="00C8708D" w:rsidRPr="00F909F7" w:rsidRDefault="00C8708D" w:rsidP="00C8708D">
      <w:pPr>
        <w:ind w:left="720"/>
        <w:jc w:val="both"/>
        <w:rPr>
          <w:rFonts w:ascii="Arial" w:hAnsi="Arial" w:cs="Arial"/>
          <w:sz w:val="24"/>
          <w:szCs w:val="24"/>
        </w:rPr>
      </w:pPr>
    </w:p>
    <w:p w:rsidR="00C8708D" w:rsidRPr="00F909F7" w:rsidRDefault="00C8708D" w:rsidP="00C8708D">
      <w:pPr>
        <w:ind w:left="720"/>
        <w:jc w:val="both"/>
        <w:rPr>
          <w:rFonts w:ascii="Arial" w:hAnsi="Arial" w:cs="Arial"/>
          <w:sz w:val="24"/>
          <w:szCs w:val="24"/>
        </w:rPr>
      </w:pPr>
    </w:p>
    <w:p w:rsidR="00C8708D" w:rsidRPr="00F909F7" w:rsidRDefault="00C8708D" w:rsidP="00C8708D">
      <w:pPr>
        <w:ind w:left="720"/>
        <w:jc w:val="both"/>
        <w:rPr>
          <w:rFonts w:ascii="Arial" w:hAnsi="Arial" w:cs="Arial"/>
          <w:sz w:val="24"/>
          <w:szCs w:val="24"/>
        </w:rPr>
      </w:pPr>
    </w:p>
    <w:p w:rsidR="00C8708D" w:rsidRPr="00F909F7" w:rsidRDefault="00C8708D" w:rsidP="00C8708D">
      <w:pPr>
        <w:ind w:left="720"/>
        <w:jc w:val="both"/>
        <w:rPr>
          <w:rFonts w:ascii="Arial" w:hAnsi="Arial" w:cs="Arial"/>
          <w:sz w:val="24"/>
          <w:szCs w:val="24"/>
        </w:rPr>
      </w:pPr>
    </w:p>
    <w:p w:rsidR="00C8708D" w:rsidRPr="00F909F7" w:rsidRDefault="00C8708D" w:rsidP="00C8708D">
      <w:pPr>
        <w:ind w:left="720"/>
        <w:jc w:val="both"/>
        <w:rPr>
          <w:rFonts w:ascii="Arial" w:hAnsi="Arial" w:cs="Arial"/>
          <w:sz w:val="24"/>
          <w:szCs w:val="24"/>
        </w:rPr>
      </w:pPr>
    </w:p>
    <w:p w:rsidR="00C8708D" w:rsidRPr="00F909F7" w:rsidRDefault="00C8708D" w:rsidP="00C8708D">
      <w:pPr>
        <w:ind w:left="720"/>
        <w:jc w:val="both"/>
        <w:rPr>
          <w:rFonts w:ascii="Arial" w:hAnsi="Arial" w:cs="Arial"/>
          <w:sz w:val="24"/>
          <w:szCs w:val="24"/>
        </w:rPr>
      </w:pPr>
    </w:p>
    <w:p w:rsidR="00C8708D" w:rsidRPr="00F909F7" w:rsidRDefault="00C8708D" w:rsidP="00C8708D">
      <w:pPr>
        <w:ind w:left="720"/>
        <w:jc w:val="both"/>
        <w:rPr>
          <w:rFonts w:ascii="Arial" w:hAnsi="Arial" w:cs="Arial"/>
          <w:sz w:val="24"/>
          <w:szCs w:val="24"/>
        </w:rPr>
      </w:pPr>
    </w:p>
    <w:p w:rsidR="00C8708D" w:rsidRPr="00F909F7" w:rsidRDefault="00C8708D" w:rsidP="00C8708D">
      <w:pPr>
        <w:ind w:left="720"/>
        <w:jc w:val="both"/>
        <w:rPr>
          <w:rFonts w:ascii="Arial" w:hAnsi="Arial" w:cs="Arial"/>
          <w:sz w:val="24"/>
          <w:szCs w:val="24"/>
        </w:rPr>
      </w:pPr>
    </w:p>
    <w:p w:rsidR="00C8708D" w:rsidRPr="00F909F7" w:rsidRDefault="00C8708D" w:rsidP="00C8708D">
      <w:pPr>
        <w:ind w:left="720"/>
        <w:jc w:val="both"/>
        <w:rPr>
          <w:rFonts w:ascii="Arial" w:hAnsi="Arial" w:cs="Arial"/>
          <w:sz w:val="24"/>
          <w:szCs w:val="24"/>
        </w:rPr>
      </w:pPr>
    </w:p>
    <w:p w:rsidR="00C8708D" w:rsidRPr="00F909F7" w:rsidRDefault="00C8708D" w:rsidP="00C8708D">
      <w:pPr>
        <w:ind w:left="720"/>
        <w:jc w:val="both"/>
        <w:rPr>
          <w:rFonts w:ascii="Arial" w:hAnsi="Arial" w:cs="Arial"/>
          <w:sz w:val="24"/>
          <w:szCs w:val="24"/>
        </w:rPr>
      </w:pPr>
    </w:p>
    <w:p w:rsidR="00C8708D" w:rsidRPr="00F909F7" w:rsidRDefault="00C8708D" w:rsidP="00C8708D">
      <w:pPr>
        <w:ind w:left="720"/>
        <w:jc w:val="both"/>
        <w:rPr>
          <w:rFonts w:ascii="Arial" w:hAnsi="Arial" w:cs="Arial"/>
          <w:sz w:val="24"/>
          <w:szCs w:val="24"/>
        </w:rPr>
      </w:pPr>
    </w:p>
    <w:p w:rsidR="00C8708D" w:rsidRPr="00F909F7" w:rsidRDefault="00C8708D" w:rsidP="00C8708D">
      <w:pPr>
        <w:ind w:left="720"/>
        <w:jc w:val="both"/>
        <w:rPr>
          <w:rFonts w:ascii="Arial" w:hAnsi="Arial" w:cs="Arial"/>
          <w:sz w:val="24"/>
          <w:szCs w:val="24"/>
        </w:rPr>
      </w:pPr>
    </w:p>
    <w:p w:rsidR="00C8708D" w:rsidRPr="00F909F7" w:rsidRDefault="00C8708D" w:rsidP="00C8708D">
      <w:pPr>
        <w:ind w:left="720"/>
        <w:jc w:val="both"/>
        <w:rPr>
          <w:rFonts w:ascii="Arial" w:hAnsi="Arial" w:cs="Arial"/>
          <w:sz w:val="24"/>
          <w:szCs w:val="24"/>
        </w:rPr>
      </w:pPr>
    </w:p>
    <w:p w:rsidR="00C8708D" w:rsidRPr="00F909F7" w:rsidRDefault="00C8708D" w:rsidP="00C8708D">
      <w:pPr>
        <w:ind w:left="720"/>
        <w:jc w:val="both"/>
        <w:rPr>
          <w:rFonts w:ascii="Arial" w:hAnsi="Arial" w:cs="Arial"/>
          <w:sz w:val="24"/>
          <w:szCs w:val="24"/>
        </w:rPr>
      </w:pPr>
    </w:p>
    <w:p w:rsidR="002D5EB6" w:rsidRPr="00951AD8" w:rsidRDefault="00116473" w:rsidP="00951AD8">
      <w:pPr>
        <w:pStyle w:val="Naslov1"/>
      </w:pPr>
      <w:bookmarkStart w:id="0" w:name="_Toc507067598"/>
      <w:r w:rsidRPr="00951AD8">
        <w:t>UVOD</w:t>
      </w:r>
      <w:bookmarkEnd w:id="0"/>
    </w:p>
    <w:p w:rsidR="00116473" w:rsidRPr="00F20EA7" w:rsidRDefault="00116473" w:rsidP="00116473">
      <w:pPr>
        <w:pStyle w:val="Odlomakpopisa"/>
        <w:ind w:left="1065"/>
        <w:jc w:val="both"/>
        <w:rPr>
          <w:rFonts w:ascii="Arial" w:hAnsi="Arial" w:cs="Arial"/>
          <w:sz w:val="24"/>
          <w:szCs w:val="24"/>
        </w:rPr>
      </w:pPr>
    </w:p>
    <w:p w:rsidR="0047305C" w:rsidRDefault="0089772B" w:rsidP="0047305C">
      <w:pPr>
        <w:pStyle w:val="Bezproreda"/>
        <w:ind w:firstLine="708"/>
        <w:jc w:val="both"/>
      </w:pPr>
      <w:proofErr w:type="spellStart"/>
      <w:r w:rsidRPr="009445D0">
        <w:t>Predstečajni</w:t>
      </w:r>
      <w:proofErr w:type="spellEnd"/>
      <w:r w:rsidRPr="009445D0">
        <w:t xml:space="preserve"> postupak ima za cilj da se </w:t>
      </w:r>
      <w:r w:rsidR="000D253F">
        <w:t>ured</w:t>
      </w:r>
      <w:r>
        <w:t xml:space="preserve">i pravi položaj dužnika i održi njegova djelatnost, odnosno da se </w:t>
      </w:r>
      <w:r w:rsidRPr="009445D0">
        <w:t xml:space="preserve">poslovnim subjektima koji su u poslovanju iskazali negativan financijski rezultat omogući brzo i učinkovito saniranje bilance, računa dobiti i gubitka te računa novčanih tijekova kroz restrukturiranje kako bi postali likvidni i solventni. </w:t>
      </w:r>
      <w:proofErr w:type="spellStart"/>
      <w:r w:rsidRPr="009445D0">
        <w:t>Predstečajni</w:t>
      </w:r>
      <w:proofErr w:type="spellEnd"/>
      <w:r w:rsidRPr="009445D0">
        <w:t xml:space="preserve"> postupak ima i drugi cilj, da se </w:t>
      </w:r>
      <w:r>
        <w:t xml:space="preserve">dužnikovim </w:t>
      </w:r>
      <w:r w:rsidRPr="009445D0">
        <w:t>vjerovnicima omoguće povoljniji uvjeti namirenja njihovih tražbina od uvjeta koje bi imali u slučaju pokretanja stečajnoga postupka protiv dužnika.</w:t>
      </w:r>
    </w:p>
    <w:p w:rsidR="0089772B" w:rsidRPr="009445D0" w:rsidRDefault="0089772B" w:rsidP="0047305C">
      <w:pPr>
        <w:pStyle w:val="Bezproreda"/>
        <w:ind w:firstLine="708"/>
        <w:jc w:val="both"/>
      </w:pPr>
      <w:r w:rsidRPr="009445D0">
        <w:t xml:space="preserve"> </w:t>
      </w:r>
    </w:p>
    <w:p w:rsidR="0089772B" w:rsidRDefault="0089772B" w:rsidP="0047305C">
      <w:pPr>
        <w:pStyle w:val="Bezproreda"/>
        <w:jc w:val="both"/>
      </w:pPr>
      <w:r>
        <w:rPr>
          <w:rFonts w:ascii="Times New Roman" w:hAnsi="Times New Roman" w:cs="Times New Roman"/>
        </w:rPr>
        <w:tab/>
      </w:r>
      <w:proofErr w:type="spellStart"/>
      <w:r w:rsidRPr="009445D0">
        <w:t>Predstečajni</w:t>
      </w:r>
      <w:proofErr w:type="spellEnd"/>
      <w:r w:rsidRPr="009445D0">
        <w:t xml:space="preserve"> postupak je izvanparnični postupak s brojnim posebnostima koje zahtijevaju kombinaciju pravila parničnog, izvanparničnog (u užem smislu) te ovršnog postupka. </w:t>
      </w:r>
    </w:p>
    <w:p w:rsidR="0047305C" w:rsidRPr="009445D0" w:rsidRDefault="0047305C" w:rsidP="0047305C">
      <w:pPr>
        <w:pStyle w:val="Bezproreda"/>
        <w:jc w:val="both"/>
      </w:pPr>
    </w:p>
    <w:p w:rsidR="00D83A6F" w:rsidRDefault="00AB4C6E" w:rsidP="0047305C">
      <w:pPr>
        <w:pStyle w:val="Bezproreda"/>
        <w:ind w:firstLine="708"/>
        <w:jc w:val="both"/>
      </w:pPr>
      <w:r w:rsidRPr="00F20EA7">
        <w:t>Stečajni zakon</w:t>
      </w:r>
      <w:r w:rsidRPr="00F20EA7">
        <w:rPr>
          <w:rStyle w:val="Referencafusnote"/>
          <w:rFonts w:cs="Arial"/>
          <w:szCs w:val="24"/>
        </w:rPr>
        <w:footnoteReference w:id="1"/>
      </w:r>
      <w:r w:rsidRPr="00F20EA7">
        <w:t xml:space="preserve"> </w:t>
      </w:r>
      <w:r w:rsidR="007824E1" w:rsidRPr="00F20EA7">
        <w:t xml:space="preserve">donesen </w:t>
      </w:r>
      <w:r w:rsidR="00D25635" w:rsidRPr="00F20EA7">
        <w:t>12. lipnja 2015.</w:t>
      </w:r>
      <w:r w:rsidR="008E54B8">
        <w:t xml:space="preserve"> </w:t>
      </w:r>
      <w:r w:rsidRPr="00F20EA7">
        <w:t>stupio je na snagu 1. rujna 2015.</w:t>
      </w:r>
      <w:r w:rsidR="002E0621">
        <w:t xml:space="preserve"> </w:t>
      </w:r>
      <w:r w:rsidR="00D83A6F" w:rsidRPr="00F20EA7">
        <w:t xml:space="preserve">Zakonodavac je odlučio </w:t>
      </w:r>
      <w:proofErr w:type="spellStart"/>
      <w:r w:rsidR="00D83A6F" w:rsidRPr="00F20EA7">
        <w:t>predstečajni</w:t>
      </w:r>
      <w:proofErr w:type="spellEnd"/>
      <w:r w:rsidR="00D83A6F" w:rsidRPr="00F20EA7">
        <w:t xml:space="preserve"> i stečajni postupak urediti jednim zakonom, što je </w:t>
      </w:r>
      <w:r w:rsidR="001B69FD">
        <w:t>sigurno jedna nova vrijednost.</w:t>
      </w:r>
      <w:r w:rsidR="00D83A6F" w:rsidRPr="00F20EA7">
        <w:t xml:space="preserve"> S druge strane, donošenjem novoga Stečajnog zakona propuštena je prilika </w:t>
      </w:r>
      <w:proofErr w:type="spellStart"/>
      <w:r w:rsidR="00D83A6F" w:rsidRPr="00F20EA7">
        <w:t>insolvencijsko</w:t>
      </w:r>
      <w:proofErr w:type="spellEnd"/>
      <w:r w:rsidR="00D83A6F" w:rsidRPr="00F20EA7">
        <w:t xml:space="preserve"> pravo urediti jednim zakonom koji bi regulirao i</w:t>
      </w:r>
      <w:r w:rsidR="0089772B">
        <w:t xml:space="preserve"> stečaj potrošača. Donesen je </w:t>
      </w:r>
      <w:r w:rsidR="00D83A6F" w:rsidRPr="00F20EA7">
        <w:t>poseban Zakon o stečaju potrošača</w:t>
      </w:r>
      <w:r w:rsidR="00D83A6F" w:rsidRPr="00F20EA7">
        <w:rPr>
          <w:rStyle w:val="Referencafusnote"/>
          <w:rFonts w:cs="Arial"/>
          <w:szCs w:val="24"/>
        </w:rPr>
        <w:footnoteReference w:id="2"/>
      </w:r>
      <w:r w:rsidR="00D83A6F" w:rsidRPr="00F20EA7">
        <w:t>, iako se brojne odredbe Stečajnog zakona primjenjuju i u postupku stečaja potrošača.</w:t>
      </w:r>
    </w:p>
    <w:p w:rsidR="0047305C" w:rsidRPr="00F20EA7" w:rsidRDefault="0047305C" w:rsidP="0047305C">
      <w:pPr>
        <w:pStyle w:val="Bezproreda"/>
        <w:ind w:firstLine="708"/>
        <w:jc w:val="both"/>
      </w:pPr>
    </w:p>
    <w:p w:rsidR="00BC3A0C" w:rsidRDefault="00BC3A0C" w:rsidP="0047305C">
      <w:pPr>
        <w:pStyle w:val="Bezproreda"/>
        <w:ind w:firstLine="708"/>
        <w:jc w:val="both"/>
      </w:pPr>
      <w:r w:rsidRPr="00F20EA7">
        <w:t xml:space="preserve">Odredbe Stečajnog zakona izražavaju zakonodavčevo opredjeljenje o načinu ostvarivanja osnovnih načela i ciljeva </w:t>
      </w:r>
      <w:proofErr w:type="spellStart"/>
      <w:r w:rsidRPr="00F20EA7">
        <w:t>predstečajnog</w:t>
      </w:r>
      <w:proofErr w:type="spellEnd"/>
      <w:r>
        <w:t xml:space="preserve"> postupka</w:t>
      </w:r>
      <w:r w:rsidRPr="00F20EA7">
        <w:t xml:space="preserve">, ubrzanje i pojeftinjenje postupka novim načinom dostave sudskih pismena i korištenjem propisanih obrazaca, transparentan način izbora i imenovanja povjerenika kao i objavljivanjem </w:t>
      </w:r>
      <w:r>
        <w:t>svih odluka, poziva, očitovanja te isprava na m</w:t>
      </w:r>
      <w:r w:rsidRPr="00F20EA7">
        <w:t>režnoj stranici e-Oglasna ploča sudova</w:t>
      </w:r>
      <w:r>
        <w:t>.</w:t>
      </w:r>
      <w:r w:rsidRPr="00F20EA7">
        <w:t xml:space="preserve"> Uklanjanjem odnosno modificiranjem postojećih ili unošenjem novih rješenja u zakonsku regulativu željelo se prevladati određene probleme u praksi te smanjiti administracijsku ulogu suda i ojačati njegovu pravosudnu funkciju</w:t>
      </w:r>
      <w:r>
        <w:t xml:space="preserve"> u </w:t>
      </w:r>
      <w:proofErr w:type="spellStart"/>
      <w:r>
        <w:t>predstečajnom</w:t>
      </w:r>
      <w:proofErr w:type="spellEnd"/>
      <w:r>
        <w:t xml:space="preserve"> postupku.</w:t>
      </w:r>
    </w:p>
    <w:p w:rsidR="0047305C" w:rsidRPr="00F20EA7" w:rsidRDefault="0047305C" w:rsidP="0047305C">
      <w:pPr>
        <w:pStyle w:val="Bezproreda"/>
        <w:ind w:firstLine="708"/>
        <w:jc w:val="both"/>
      </w:pPr>
    </w:p>
    <w:p w:rsidR="00AA16F6" w:rsidRPr="00F20EA7" w:rsidRDefault="00BD6F4A" w:rsidP="0047305C">
      <w:pPr>
        <w:pStyle w:val="Bezproreda"/>
        <w:ind w:firstLine="708"/>
        <w:jc w:val="both"/>
      </w:pPr>
      <w:r w:rsidRPr="00F20EA7">
        <w:t>S</w:t>
      </w:r>
      <w:r w:rsidR="003F135D" w:rsidRPr="00F20EA7">
        <w:t>tupanjem na snagu</w:t>
      </w:r>
      <w:r w:rsidR="00DA2FF7" w:rsidRPr="00F20EA7">
        <w:t xml:space="preserve"> </w:t>
      </w:r>
      <w:r w:rsidR="0009476F" w:rsidRPr="00F20EA7">
        <w:t>Stečaj</w:t>
      </w:r>
      <w:r w:rsidR="00992457">
        <w:t xml:space="preserve">nog zakona prestale su važiti </w:t>
      </w:r>
      <w:r w:rsidR="0009476F" w:rsidRPr="00F20EA7">
        <w:t xml:space="preserve">odredbe Zakona </w:t>
      </w:r>
      <w:r w:rsidR="00E52B5E" w:rsidRPr="00F20EA7">
        <w:t xml:space="preserve">o financijskom poslovanju i </w:t>
      </w:r>
      <w:proofErr w:type="spellStart"/>
      <w:r w:rsidR="00E52B5E" w:rsidRPr="00F20EA7">
        <w:t>preds</w:t>
      </w:r>
      <w:r w:rsidR="0009476F" w:rsidRPr="00F20EA7">
        <w:t>tečajnoj</w:t>
      </w:r>
      <w:proofErr w:type="spellEnd"/>
      <w:r w:rsidR="0009476F" w:rsidRPr="00F20EA7">
        <w:t xml:space="preserve"> nagodbi</w:t>
      </w:r>
      <w:r w:rsidR="0009476F" w:rsidRPr="00F20EA7">
        <w:rPr>
          <w:rStyle w:val="Referencafusnote"/>
          <w:rFonts w:cs="Arial"/>
          <w:szCs w:val="24"/>
        </w:rPr>
        <w:footnoteReference w:id="3"/>
      </w:r>
      <w:r w:rsidR="0009476F" w:rsidRPr="00F20EA7">
        <w:t xml:space="preserve"> </w:t>
      </w:r>
      <w:r w:rsidR="00040788" w:rsidRPr="00F20EA7">
        <w:t xml:space="preserve">(u nastavku: ZFPPN) </w:t>
      </w:r>
      <w:r w:rsidR="0009476F" w:rsidRPr="00F20EA7">
        <w:t xml:space="preserve">koje su regulirale institut </w:t>
      </w:r>
      <w:proofErr w:type="spellStart"/>
      <w:r w:rsidR="0009476F" w:rsidRPr="00F20EA7">
        <w:t>predstečajne</w:t>
      </w:r>
      <w:proofErr w:type="spellEnd"/>
      <w:r w:rsidR="0009476F" w:rsidRPr="00F20EA7">
        <w:t xml:space="preserve"> nagodbe. </w:t>
      </w:r>
      <w:proofErr w:type="spellStart"/>
      <w:r w:rsidR="00040788" w:rsidRPr="00F20EA7">
        <w:t>P</w:t>
      </w:r>
      <w:r w:rsidR="00A821EE" w:rsidRPr="00F20EA7">
        <w:t>redstečajn</w:t>
      </w:r>
      <w:r w:rsidR="00040788" w:rsidRPr="00F20EA7">
        <w:t>i</w:t>
      </w:r>
      <w:proofErr w:type="spellEnd"/>
      <w:r w:rsidR="00A821EE" w:rsidRPr="00F20EA7">
        <w:t xml:space="preserve"> </w:t>
      </w:r>
      <w:r w:rsidR="00040788" w:rsidRPr="00F20EA7">
        <w:t xml:space="preserve">postupci </w:t>
      </w:r>
      <w:r w:rsidR="00A821EE" w:rsidRPr="00F20EA7">
        <w:t>pokrenuti na temelju Z</w:t>
      </w:r>
      <w:r w:rsidR="00040788" w:rsidRPr="00F20EA7">
        <w:t xml:space="preserve">FPPN-a </w:t>
      </w:r>
      <w:r w:rsidR="00A821EE" w:rsidRPr="00F20EA7">
        <w:t>dovršit će se prema odredbama toga Zakona</w:t>
      </w:r>
      <w:r w:rsidR="004D1674" w:rsidRPr="00F20EA7">
        <w:rPr>
          <w:rStyle w:val="Referencafusnote"/>
          <w:rFonts w:cs="Arial"/>
          <w:szCs w:val="24"/>
        </w:rPr>
        <w:footnoteReference w:id="4"/>
      </w:r>
      <w:r w:rsidR="00331BD9">
        <w:t>.</w:t>
      </w:r>
      <w:r w:rsidR="00ED7CA2" w:rsidRPr="00F20EA7">
        <w:t xml:space="preserve"> </w:t>
      </w:r>
      <w:r w:rsidR="001A73A5" w:rsidRPr="00F20EA7">
        <w:t>I</w:t>
      </w:r>
      <w:r w:rsidR="0009476F" w:rsidRPr="00F20EA7">
        <w:t xml:space="preserve">zuzetak je </w:t>
      </w:r>
      <w:r w:rsidR="004D1674" w:rsidRPr="00F20EA7">
        <w:t xml:space="preserve">primjena </w:t>
      </w:r>
      <w:r w:rsidR="0009476F" w:rsidRPr="00F20EA7">
        <w:t>odredb</w:t>
      </w:r>
      <w:r w:rsidR="004D1674" w:rsidRPr="00F20EA7">
        <w:t>e</w:t>
      </w:r>
      <w:r w:rsidR="0009476F" w:rsidRPr="00F20EA7">
        <w:t xml:space="preserve"> članka 32. stavak 1. točka 2. </w:t>
      </w:r>
      <w:r w:rsidR="00ED7CA2" w:rsidRPr="00F20EA7">
        <w:t>SZ-a</w:t>
      </w:r>
      <w:r w:rsidR="0009476F" w:rsidRPr="00F20EA7">
        <w:t xml:space="preserve"> koja se primjenjuje na odgovarajući način i na </w:t>
      </w:r>
      <w:proofErr w:type="spellStart"/>
      <w:r w:rsidR="0009476F" w:rsidRPr="00F20EA7">
        <w:t>predstečajn</w:t>
      </w:r>
      <w:r w:rsidR="004D1674" w:rsidRPr="00F20EA7">
        <w:t>e</w:t>
      </w:r>
      <w:proofErr w:type="spellEnd"/>
      <w:r w:rsidR="004D1674" w:rsidRPr="00F20EA7">
        <w:t xml:space="preserve"> nagodbe</w:t>
      </w:r>
      <w:r w:rsidR="00040788" w:rsidRPr="00F20EA7">
        <w:t xml:space="preserve"> </w:t>
      </w:r>
      <w:r w:rsidR="004D1674" w:rsidRPr="00F20EA7">
        <w:t>sklopljene</w:t>
      </w:r>
      <w:r w:rsidR="00040788" w:rsidRPr="00F20EA7">
        <w:t xml:space="preserve"> </w:t>
      </w:r>
      <w:r w:rsidR="0009476F" w:rsidRPr="00F20EA7">
        <w:t>na temelju Z</w:t>
      </w:r>
      <w:r w:rsidR="00040788" w:rsidRPr="00F20EA7">
        <w:t>FPPN-a</w:t>
      </w:r>
      <w:r w:rsidR="00491CEF" w:rsidRPr="00F20EA7">
        <w:rPr>
          <w:rStyle w:val="Referencafusnote"/>
          <w:rFonts w:cs="Arial"/>
          <w:szCs w:val="24"/>
        </w:rPr>
        <w:footnoteReference w:id="5"/>
      </w:r>
      <w:r w:rsidR="0009476F" w:rsidRPr="00F20EA7">
        <w:t xml:space="preserve">. </w:t>
      </w:r>
      <w:r w:rsidR="000E6986" w:rsidRPr="00F20EA7">
        <w:t>O</w:t>
      </w:r>
      <w:r w:rsidR="00CF49D5" w:rsidRPr="00F20EA7">
        <w:t xml:space="preserve">vim izuzetkom </w:t>
      </w:r>
      <w:r w:rsidR="00D36AC4" w:rsidRPr="00F20EA7">
        <w:t>zakonodavčeva namjera</w:t>
      </w:r>
      <w:r w:rsidR="00DA2FF7" w:rsidRPr="00F20EA7">
        <w:t xml:space="preserve"> je </w:t>
      </w:r>
      <w:r w:rsidR="00CF49D5" w:rsidRPr="00F20EA7">
        <w:t>o</w:t>
      </w:r>
      <w:r w:rsidR="00841A82" w:rsidRPr="00F20EA7">
        <w:t>ne</w:t>
      </w:r>
      <w:r w:rsidR="00CF49D5" w:rsidRPr="00F20EA7">
        <w:t xml:space="preserve">mogućiti </w:t>
      </w:r>
      <w:r w:rsidR="00841A82" w:rsidRPr="00F20EA7">
        <w:t>podnošenje nov</w:t>
      </w:r>
      <w:r w:rsidR="00ED7CA2" w:rsidRPr="00F20EA7">
        <w:t>ih</w:t>
      </w:r>
      <w:r w:rsidR="00841A82" w:rsidRPr="00F20EA7">
        <w:t xml:space="preserve"> </w:t>
      </w:r>
      <w:r w:rsidR="00CF49D5" w:rsidRPr="00F20EA7">
        <w:t xml:space="preserve">prijedloga za otvaranje </w:t>
      </w:r>
      <w:proofErr w:type="spellStart"/>
      <w:r w:rsidR="00CF49D5" w:rsidRPr="00F20EA7">
        <w:t>predstečajnog</w:t>
      </w:r>
      <w:proofErr w:type="spellEnd"/>
      <w:r w:rsidR="00CF49D5" w:rsidRPr="00F20EA7">
        <w:t xml:space="preserve"> postupka na temelju </w:t>
      </w:r>
      <w:r w:rsidR="00D36AC4" w:rsidRPr="00F20EA7">
        <w:t>SZ-a</w:t>
      </w:r>
      <w:r w:rsidR="00CF49D5" w:rsidRPr="00F20EA7">
        <w:t xml:space="preserve"> ako nije istekao rok od dvije godine od dana ispunjenja obveza iz prije sklopljene </w:t>
      </w:r>
      <w:proofErr w:type="spellStart"/>
      <w:r w:rsidR="00CF49D5" w:rsidRPr="00F20EA7">
        <w:t>predstečajne</w:t>
      </w:r>
      <w:proofErr w:type="spellEnd"/>
      <w:r w:rsidR="00CF49D5" w:rsidRPr="00F20EA7">
        <w:t xml:space="preserve"> nagodbe</w:t>
      </w:r>
      <w:r w:rsidR="00841A82" w:rsidRPr="00F20EA7">
        <w:t xml:space="preserve"> na temelju odredaba ZFPPN-a</w:t>
      </w:r>
      <w:r w:rsidR="00CF49D5" w:rsidRPr="00F20EA7">
        <w:t xml:space="preserve">. </w:t>
      </w:r>
      <w:r w:rsidR="00841A82" w:rsidRPr="00F20EA7">
        <w:t xml:space="preserve">Međutim, ako </w:t>
      </w:r>
      <w:r w:rsidR="00D36AC4" w:rsidRPr="00F20EA7">
        <w:t xml:space="preserve">je nakon </w:t>
      </w:r>
      <w:r w:rsidR="001B69FD">
        <w:t xml:space="preserve">sklopljene </w:t>
      </w:r>
      <w:proofErr w:type="spellStart"/>
      <w:r w:rsidR="00D36AC4" w:rsidRPr="00F20EA7">
        <w:t>predstečajne</w:t>
      </w:r>
      <w:proofErr w:type="spellEnd"/>
      <w:r w:rsidR="00D36AC4" w:rsidRPr="00F20EA7">
        <w:t xml:space="preserve"> nagodbe na temelju ZFPPN-a podnesen </w:t>
      </w:r>
      <w:r w:rsidR="001B69FD">
        <w:t xml:space="preserve">novi </w:t>
      </w:r>
      <w:r w:rsidR="00D36AC4" w:rsidRPr="00F20EA7">
        <w:t xml:space="preserve">prijedlog za otvaranje </w:t>
      </w:r>
      <w:proofErr w:type="spellStart"/>
      <w:r w:rsidR="00D36AC4" w:rsidRPr="00F20EA7">
        <w:t>predstečajnog</w:t>
      </w:r>
      <w:proofErr w:type="spellEnd"/>
      <w:r w:rsidR="00D36AC4" w:rsidRPr="00F20EA7">
        <w:t xml:space="preserve"> postupka na temelju </w:t>
      </w:r>
      <w:r w:rsidR="00ED7CA2" w:rsidRPr="00F20EA7">
        <w:t>SZ-a,</w:t>
      </w:r>
      <w:r w:rsidR="003F135D" w:rsidRPr="00F20EA7">
        <w:t xml:space="preserve"> u</w:t>
      </w:r>
      <w:r w:rsidR="00ED7CA2" w:rsidRPr="00F20EA7">
        <w:t xml:space="preserve"> </w:t>
      </w:r>
      <w:r w:rsidR="00D36AC4" w:rsidRPr="00F20EA7">
        <w:t>odlučivanj</w:t>
      </w:r>
      <w:r w:rsidR="00ED7CA2" w:rsidRPr="00F20EA7">
        <w:t>u</w:t>
      </w:r>
      <w:r w:rsidR="00D36AC4" w:rsidRPr="00F20EA7">
        <w:t xml:space="preserve"> o novom prijedlogu </w:t>
      </w:r>
      <w:r w:rsidR="00D83A6F">
        <w:t xml:space="preserve">za otvaranje </w:t>
      </w:r>
      <w:proofErr w:type="spellStart"/>
      <w:r w:rsidR="00D83A6F">
        <w:t>predstečajnog</w:t>
      </w:r>
      <w:proofErr w:type="spellEnd"/>
      <w:r w:rsidR="00D83A6F">
        <w:t xml:space="preserve"> postupka </w:t>
      </w:r>
      <w:r w:rsidR="00841A82" w:rsidRPr="00F20EA7">
        <w:t xml:space="preserve">primjenjuje </w:t>
      </w:r>
      <w:r w:rsidR="00D36AC4" w:rsidRPr="00F20EA7">
        <w:t xml:space="preserve">se </w:t>
      </w:r>
      <w:r w:rsidR="003F135D" w:rsidRPr="00F20EA7">
        <w:t>Stečajni zakon</w:t>
      </w:r>
      <w:r w:rsidR="00D36AC4" w:rsidRPr="00F20EA7">
        <w:t>, a n</w:t>
      </w:r>
      <w:r w:rsidR="003A0663" w:rsidRPr="00F20EA7">
        <w:t xml:space="preserve">e ZFPPN. </w:t>
      </w:r>
      <w:r w:rsidR="000E6986" w:rsidRPr="00F20EA7">
        <w:t>U tom slučaju p</w:t>
      </w:r>
      <w:r w:rsidR="00D36AC4" w:rsidRPr="00F20EA7">
        <w:t xml:space="preserve">rijedlog </w:t>
      </w:r>
      <w:r w:rsidR="00EC7999" w:rsidRPr="00F20EA7">
        <w:t xml:space="preserve">za otvaranje </w:t>
      </w:r>
      <w:proofErr w:type="spellStart"/>
      <w:r w:rsidR="00EC7999" w:rsidRPr="00F20EA7">
        <w:t>predstečajn</w:t>
      </w:r>
      <w:r w:rsidRPr="00F20EA7">
        <w:t>og</w:t>
      </w:r>
      <w:proofErr w:type="spellEnd"/>
      <w:r w:rsidRPr="00F20EA7">
        <w:t xml:space="preserve"> postupka podnesen nakon 1. rujna 2015. </w:t>
      </w:r>
      <w:r w:rsidR="00D36AC4" w:rsidRPr="00F20EA7">
        <w:t xml:space="preserve">trebalo </w:t>
      </w:r>
      <w:r w:rsidRPr="00F20EA7">
        <w:t xml:space="preserve">bi </w:t>
      </w:r>
      <w:r w:rsidR="00D36AC4" w:rsidRPr="00F20EA7">
        <w:t xml:space="preserve">odbaciti na temelju odredbe članka 32. stavak 1. točka </w:t>
      </w:r>
      <w:r w:rsidR="003A0663" w:rsidRPr="00F20EA7">
        <w:t xml:space="preserve">2. SZ-a </w:t>
      </w:r>
      <w:r w:rsidR="000E6986" w:rsidRPr="00F20EA7">
        <w:t xml:space="preserve">i bez prijelazne odredbe </w:t>
      </w:r>
      <w:r w:rsidRPr="00F20EA7">
        <w:t xml:space="preserve">budući da je dužnik sklopio </w:t>
      </w:r>
      <w:proofErr w:type="spellStart"/>
      <w:r w:rsidR="001B69FD">
        <w:t>predstečajnu</w:t>
      </w:r>
      <w:proofErr w:type="spellEnd"/>
      <w:r w:rsidR="001B69FD">
        <w:t xml:space="preserve"> nagodbu po starom Z</w:t>
      </w:r>
      <w:r w:rsidRPr="00F20EA7">
        <w:t xml:space="preserve">akonu koji je </w:t>
      </w:r>
      <w:r w:rsidR="002669DD" w:rsidRPr="00F20EA7">
        <w:t xml:space="preserve">također </w:t>
      </w:r>
      <w:r w:rsidRPr="00F20EA7">
        <w:t xml:space="preserve">imao odredbu članka 49. stavak 1. točka 2. ZFPPN-a </w:t>
      </w:r>
      <w:r w:rsidR="00AA16F6" w:rsidRPr="00F20EA7">
        <w:t xml:space="preserve">i </w:t>
      </w:r>
      <w:r w:rsidRPr="00F20EA7">
        <w:t xml:space="preserve">koja je </w:t>
      </w:r>
      <w:r w:rsidR="00D83A6F">
        <w:t xml:space="preserve">također </w:t>
      </w:r>
      <w:r w:rsidR="000E6986" w:rsidRPr="00F20EA7">
        <w:t xml:space="preserve">onemogućavala podnošenje prijedloga za vođenje </w:t>
      </w:r>
      <w:r w:rsidR="00AA2E60" w:rsidRPr="00F20EA7">
        <w:t xml:space="preserve">postupka </w:t>
      </w:r>
      <w:proofErr w:type="spellStart"/>
      <w:r w:rsidR="00AA2E60" w:rsidRPr="00F20EA7">
        <w:t>predstečajne</w:t>
      </w:r>
      <w:proofErr w:type="spellEnd"/>
      <w:r w:rsidR="00AA2E60" w:rsidRPr="00F20EA7">
        <w:t xml:space="preserve"> nagodbe</w:t>
      </w:r>
      <w:r w:rsidR="000E6986" w:rsidRPr="00F20EA7">
        <w:t xml:space="preserve"> ako nije protekao rok od dvije godine od dana ispunjenja obveza iz prethodno sklopljene </w:t>
      </w:r>
      <w:proofErr w:type="spellStart"/>
      <w:r w:rsidR="000E6986" w:rsidRPr="00F20EA7">
        <w:t>predstečajne</w:t>
      </w:r>
      <w:proofErr w:type="spellEnd"/>
      <w:r w:rsidR="000E6986" w:rsidRPr="00F20EA7">
        <w:t xml:space="preserve"> nagodbe. </w:t>
      </w:r>
      <w:r w:rsidR="00AA16F6" w:rsidRPr="00F20EA7">
        <w:t xml:space="preserve">Jedina razlika </w:t>
      </w:r>
      <w:r w:rsidR="000E6986" w:rsidRPr="00F20EA7">
        <w:t xml:space="preserve">između navedenih odredbi je u tome </w:t>
      </w:r>
      <w:r w:rsidR="00AA16F6" w:rsidRPr="00F20EA7">
        <w:lastRenderedPageBreak/>
        <w:t xml:space="preserve">što je ZFPPN propisivao da sudionici sklapaju </w:t>
      </w:r>
      <w:proofErr w:type="spellStart"/>
      <w:r w:rsidR="00AA16F6" w:rsidRPr="00F20EA7">
        <w:t>predstečajnu</w:t>
      </w:r>
      <w:proofErr w:type="spellEnd"/>
      <w:r w:rsidR="00AA16F6" w:rsidRPr="00F20EA7">
        <w:t xml:space="preserve"> nagodbu, a SZ propisuje da sklapaju </w:t>
      </w:r>
      <w:proofErr w:type="spellStart"/>
      <w:r w:rsidR="00AA16F6" w:rsidRPr="00F20EA7">
        <w:t>predstečajni</w:t>
      </w:r>
      <w:proofErr w:type="spellEnd"/>
      <w:r w:rsidR="00AA16F6" w:rsidRPr="00F20EA7">
        <w:t xml:space="preserve"> sporazum.</w:t>
      </w:r>
      <w:r w:rsidR="00AA2E60" w:rsidRPr="00F20EA7">
        <w:t xml:space="preserve"> </w:t>
      </w:r>
    </w:p>
    <w:p w:rsidR="0047305C" w:rsidRDefault="003F70C2" w:rsidP="0047305C">
      <w:pPr>
        <w:pStyle w:val="Bezproreda"/>
        <w:ind w:firstLine="708"/>
        <w:jc w:val="both"/>
      </w:pPr>
      <w:r w:rsidRPr="00F20EA7">
        <w:t xml:space="preserve">Pojedina zakonska rješenja već su pokazala određene nejasnoće i neučinkovitost </w:t>
      </w:r>
      <w:proofErr w:type="spellStart"/>
      <w:r>
        <w:t>predstečajnog</w:t>
      </w:r>
      <w:proofErr w:type="spellEnd"/>
      <w:r>
        <w:t xml:space="preserve"> postupka </w:t>
      </w:r>
      <w:r w:rsidRPr="00F20EA7">
        <w:t>pa je don</w:t>
      </w:r>
      <w:r w:rsidR="0089772B">
        <w:t>esen</w:t>
      </w:r>
      <w:r w:rsidRPr="00F20EA7">
        <w:t xml:space="preserve"> Zakon o</w:t>
      </w:r>
      <w:r>
        <w:t xml:space="preserve"> izmjenama i dopunama Stečajnog</w:t>
      </w:r>
      <w:r w:rsidRPr="00F20EA7">
        <w:t xml:space="preserve"> zakona</w:t>
      </w:r>
      <w:r w:rsidR="0089772B">
        <w:rPr>
          <w:rStyle w:val="Referencafusnote"/>
          <w:rFonts w:cs="Arial"/>
          <w:szCs w:val="24"/>
        </w:rPr>
        <w:footnoteReference w:id="6"/>
      </w:r>
      <w:r w:rsidR="0089772B">
        <w:t xml:space="preserve"> </w:t>
      </w:r>
      <w:r w:rsidR="00D83A6F">
        <w:t xml:space="preserve">(u nastavku: ZIDSZ). </w:t>
      </w:r>
      <w:proofErr w:type="spellStart"/>
      <w:r w:rsidR="00D83A6F">
        <w:t>Predstečajni</w:t>
      </w:r>
      <w:proofErr w:type="spellEnd"/>
      <w:r w:rsidR="00D83A6F">
        <w:t xml:space="preserve"> postupci </w:t>
      </w:r>
      <w:r w:rsidR="0089772B">
        <w:t xml:space="preserve">koji su u </w:t>
      </w:r>
      <w:r w:rsidR="00D83A6F">
        <w:t xml:space="preserve">tijeku </w:t>
      </w:r>
      <w:r w:rsidR="0089772B">
        <w:t xml:space="preserve">u trenutku stupanja na snagu ZIDSZ-a </w:t>
      </w:r>
      <w:r w:rsidR="00D83A6F">
        <w:t>dov</w:t>
      </w:r>
      <w:r w:rsidR="001B69FD">
        <w:t>ršit će se prema odredbama z</w:t>
      </w:r>
      <w:r w:rsidR="00D83A6F">
        <w:t>akona koji je bio na snazi u vrijeme njihova pokretanja, osim ako zakonom nije drukčije propisano</w:t>
      </w:r>
      <w:r w:rsidR="00D83A6F">
        <w:rPr>
          <w:rStyle w:val="Referencafusnote"/>
          <w:rFonts w:cs="Arial"/>
          <w:szCs w:val="24"/>
        </w:rPr>
        <w:footnoteReference w:id="7"/>
      </w:r>
      <w:r w:rsidR="00D83A6F">
        <w:t xml:space="preserve">. Zakonom je propisano da se odredbe članka 13. i 17. ZIDSZ-a primjenjuju i na </w:t>
      </w:r>
      <w:proofErr w:type="spellStart"/>
      <w:r w:rsidR="00D83A6F">
        <w:t>predstečajne</w:t>
      </w:r>
      <w:proofErr w:type="spellEnd"/>
      <w:r w:rsidR="00D83A6F">
        <w:t xml:space="preserve"> postupke pokrenute od dana stupanja SZ-a na snagu (1. rujna 2015.) do stupanja na snagu ZIDSZ-a (2. studenoga 2017.), ako na dan stupanja na snagu ZIDSZ-a nije održano ročište za glasovanje o planu restrukturiranja.</w:t>
      </w:r>
    </w:p>
    <w:p w:rsidR="00D83A6F" w:rsidRPr="00F20EA7" w:rsidRDefault="00D83A6F" w:rsidP="0047305C">
      <w:pPr>
        <w:pStyle w:val="Bezproreda"/>
        <w:ind w:firstLine="708"/>
        <w:jc w:val="both"/>
      </w:pPr>
      <w:r>
        <w:t xml:space="preserve"> </w:t>
      </w:r>
    </w:p>
    <w:p w:rsidR="009445D0" w:rsidRDefault="00116473" w:rsidP="0047305C">
      <w:pPr>
        <w:pStyle w:val="Bezproreda"/>
        <w:ind w:firstLine="708"/>
        <w:jc w:val="both"/>
      </w:pPr>
      <w:r w:rsidRPr="009445D0">
        <w:t xml:space="preserve">U ovom radu </w:t>
      </w:r>
      <w:r w:rsidR="001B69FD">
        <w:t xml:space="preserve">su </w:t>
      </w:r>
      <w:r w:rsidR="009445D0">
        <w:t xml:space="preserve">izložena </w:t>
      </w:r>
      <w:r w:rsidR="00D86C15" w:rsidRPr="009445D0">
        <w:t>načel</w:t>
      </w:r>
      <w:r w:rsidR="00480F59" w:rsidRPr="009445D0">
        <w:t>a</w:t>
      </w:r>
      <w:r w:rsidR="00D86C15" w:rsidRPr="009445D0">
        <w:t xml:space="preserve"> i osnovne </w:t>
      </w:r>
      <w:proofErr w:type="spellStart"/>
      <w:r w:rsidR="00D86C15" w:rsidRPr="009445D0">
        <w:t>postupovne</w:t>
      </w:r>
      <w:proofErr w:type="spellEnd"/>
      <w:r w:rsidR="00D86C15" w:rsidRPr="009445D0">
        <w:t xml:space="preserve"> odredbe </w:t>
      </w:r>
      <w:proofErr w:type="spellStart"/>
      <w:r w:rsidR="00D86C15" w:rsidRPr="009445D0">
        <w:t>predstečajnog</w:t>
      </w:r>
      <w:proofErr w:type="spellEnd"/>
      <w:r w:rsidR="00D86C15" w:rsidRPr="009445D0">
        <w:t xml:space="preserve"> </w:t>
      </w:r>
      <w:r w:rsidR="00824EBD" w:rsidRPr="009445D0">
        <w:t>postupka;</w:t>
      </w:r>
      <w:r w:rsidR="00D86C15" w:rsidRPr="009445D0">
        <w:t xml:space="preserve"> </w:t>
      </w:r>
      <w:r w:rsidR="00824EBD" w:rsidRPr="009445D0">
        <w:t xml:space="preserve">prava i obveze dužnika; </w:t>
      </w:r>
      <w:r w:rsidR="00AB4C6E" w:rsidRPr="009445D0">
        <w:t>ovlaštenja</w:t>
      </w:r>
      <w:r w:rsidR="00A3712C" w:rsidRPr="009445D0">
        <w:t>,</w:t>
      </w:r>
      <w:r w:rsidR="00AB4C6E" w:rsidRPr="009445D0">
        <w:t xml:space="preserve"> djelo</w:t>
      </w:r>
      <w:r w:rsidR="007E55FF" w:rsidRPr="009445D0">
        <w:t xml:space="preserve">vanje </w:t>
      </w:r>
      <w:r w:rsidR="00AA16F6" w:rsidRPr="009445D0">
        <w:t xml:space="preserve">i značaj </w:t>
      </w:r>
      <w:r w:rsidR="001357DB" w:rsidRPr="009445D0">
        <w:t>suda</w:t>
      </w:r>
      <w:r w:rsidR="00A3712C" w:rsidRPr="009445D0">
        <w:t xml:space="preserve"> </w:t>
      </w:r>
      <w:r w:rsidR="004C45CB" w:rsidRPr="009445D0">
        <w:t xml:space="preserve">kao tijela </w:t>
      </w:r>
      <w:proofErr w:type="spellStart"/>
      <w:r w:rsidR="00824EBD" w:rsidRPr="009445D0">
        <w:t>predstečajnog</w:t>
      </w:r>
      <w:proofErr w:type="spellEnd"/>
      <w:r w:rsidR="00555AEC">
        <w:t xml:space="preserve"> postupka</w:t>
      </w:r>
      <w:r w:rsidR="00F20EA7" w:rsidRPr="009445D0">
        <w:t>; uloga i ovlaštenja povjerenika;</w:t>
      </w:r>
      <w:r w:rsidR="00824EBD" w:rsidRPr="009445D0">
        <w:t xml:space="preserve"> prava i obveze dužnikovih vjerovnika</w:t>
      </w:r>
      <w:r w:rsidR="00F20EA7" w:rsidRPr="009445D0">
        <w:t xml:space="preserve">; </w:t>
      </w:r>
      <w:r w:rsidR="00824EBD" w:rsidRPr="009445D0">
        <w:t>uloga Financij</w:t>
      </w:r>
      <w:r w:rsidR="00F20EA7" w:rsidRPr="009445D0">
        <w:t>ske</w:t>
      </w:r>
      <w:r w:rsidR="003F70C2">
        <w:t xml:space="preserve"> agencije</w:t>
      </w:r>
      <w:r w:rsidR="00F20EA7" w:rsidRPr="009445D0">
        <w:t xml:space="preserve"> (FINA-e) u </w:t>
      </w:r>
      <w:proofErr w:type="spellStart"/>
      <w:r w:rsidR="00F20EA7" w:rsidRPr="009445D0">
        <w:t>predstečajnom</w:t>
      </w:r>
      <w:proofErr w:type="spellEnd"/>
      <w:r w:rsidR="00F20EA7" w:rsidRPr="009445D0">
        <w:t xml:space="preserve"> postupku.</w:t>
      </w:r>
      <w:r w:rsidR="00824EBD" w:rsidRPr="009445D0">
        <w:t xml:space="preserve"> </w:t>
      </w:r>
      <w:r w:rsidR="009445D0" w:rsidRPr="009445D0">
        <w:t xml:space="preserve">U dijelu Zakona koji uređuje </w:t>
      </w:r>
      <w:proofErr w:type="spellStart"/>
      <w:r w:rsidR="009445D0" w:rsidRPr="009445D0">
        <w:t>predstečajni</w:t>
      </w:r>
      <w:proofErr w:type="spellEnd"/>
      <w:r w:rsidR="009445D0" w:rsidRPr="009445D0">
        <w:t xml:space="preserve"> postupak jamci se uopće ne spominju</w:t>
      </w:r>
      <w:r w:rsidR="001B69FD">
        <w:t>. B</w:t>
      </w:r>
      <w:r w:rsidR="009445D0" w:rsidRPr="009445D0">
        <w:t xml:space="preserve">rojna </w:t>
      </w:r>
      <w:r w:rsidR="001B69FD">
        <w:t xml:space="preserve">su </w:t>
      </w:r>
      <w:r w:rsidR="009445D0" w:rsidRPr="009445D0">
        <w:t xml:space="preserve">pitanja oko pravnog položaja jamaca u </w:t>
      </w:r>
      <w:proofErr w:type="spellStart"/>
      <w:r w:rsidR="009445D0" w:rsidRPr="009445D0">
        <w:t>predstečajnom</w:t>
      </w:r>
      <w:proofErr w:type="spellEnd"/>
      <w:r w:rsidR="009445D0" w:rsidRPr="009445D0">
        <w:t xml:space="preserve"> postupku koji je otvoren nad glavnim dužnikom</w:t>
      </w:r>
      <w:r w:rsidR="001B69FD">
        <w:t xml:space="preserve"> pa je </w:t>
      </w:r>
      <w:r w:rsidR="009F7E63">
        <w:t xml:space="preserve">u ovom radu izložen i pravni položaj jamaca u </w:t>
      </w:r>
      <w:proofErr w:type="spellStart"/>
      <w:r w:rsidR="009F7E63">
        <w:t>predstečajnom</w:t>
      </w:r>
      <w:proofErr w:type="spellEnd"/>
      <w:r w:rsidR="009F7E63">
        <w:t xml:space="preserve"> postupku.</w:t>
      </w:r>
      <w:r w:rsidR="009445D0" w:rsidRPr="009445D0">
        <w:t xml:space="preserve"> </w:t>
      </w:r>
      <w:r w:rsidR="009F7E63">
        <w:t>U odnosu na prijašnji zakon, bolje je uređen pravni p</w:t>
      </w:r>
      <w:r w:rsidR="009445D0" w:rsidRPr="009445D0">
        <w:t>oložaj založnih vjerovnika</w:t>
      </w:r>
      <w:r w:rsidR="009F7E63">
        <w:t>,</w:t>
      </w:r>
      <w:r w:rsidR="009445D0" w:rsidRPr="009445D0">
        <w:t xml:space="preserve"> ali i dalje postoje odredbe Zakona koje ostavljaju mogućnost njihovog različitog tumačenja što dovodi i do različite</w:t>
      </w:r>
      <w:r w:rsidR="009445D0" w:rsidRPr="00F20EA7">
        <w:t xml:space="preserve"> </w:t>
      </w:r>
      <w:r w:rsidR="009445D0" w:rsidRPr="001B69FD">
        <w:t>primjene Zakona</w:t>
      </w:r>
      <w:r w:rsidR="009445D0" w:rsidRPr="00F20EA7">
        <w:t xml:space="preserve">, </w:t>
      </w:r>
      <w:r w:rsidR="009445D0" w:rsidRPr="009445D0">
        <w:t>a time i ustavno jamstvo jednakosti pred zakonom</w:t>
      </w:r>
      <w:r w:rsidR="009445D0" w:rsidRPr="009445D0">
        <w:rPr>
          <w:rStyle w:val="Referencafusnote"/>
          <w:rFonts w:cs="Arial"/>
          <w:szCs w:val="24"/>
        </w:rPr>
        <w:footnoteReference w:id="8"/>
      </w:r>
      <w:r w:rsidR="009445D0" w:rsidRPr="009445D0">
        <w:t xml:space="preserve">. </w:t>
      </w:r>
    </w:p>
    <w:p w:rsidR="0047305C" w:rsidRPr="009445D0" w:rsidRDefault="0047305C" w:rsidP="0047305C">
      <w:pPr>
        <w:pStyle w:val="Bezproreda"/>
        <w:ind w:firstLine="708"/>
        <w:jc w:val="both"/>
      </w:pPr>
    </w:p>
    <w:p w:rsidR="00F20EA7" w:rsidRPr="00F20EA7" w:rsidRDefault="00F20EA7" w:rsidP="0047305C">
      <w:pPr>
        <w:pStyle w:val="Bezproreda"/>
        <w:ind w:firstLine="708"/>
        <w:jc w:val="both"/>
      </w:pPr>
      <w:r w:rsidRPr="00F20EA7">
        <w:t xml:space="preserve">Ovaj rad ima za cilj ukazati </w:t>
      </w:r>
      <w:r w:rsidR="00555AEC">
        <w:t xml:space="preserve">i </w:t>
      </w:r>
      <w:r w:rsidRPr="00F20EA7">
        <w:t xml:space="preserve">na probleme na koje nailaze sudovi, stranke i sudionici </w:t>
      </w:r>
      <w:proofErr w:type="spellStart"/>
      <w:r w:rsidRPr="00F20EA7">
        <w:t>predstečajnog</w:t>
      </w:r>
      <w:proofErr w:type="spellEnd"/>
      <w:r w:rsidRPr="00F20EA7">
        <w:t xml:space="preserve"> postupka </w:t>
      </w:r>
      <w:r w:rsidR="00BC3A0C" w:rsidRPr="00F20EA7">
        <w:t xml:space="preserve">u primjeni Zakona </w:t>
      </w:r>
      <w:r w:rsidRPr="00F20EA7">
        <w:t xml:space="preserve">te ponuditi neka rješenja za sporna pitanja. </w:t>
      </w:r>
    </w:p>
    <w:p w:rsidR="00480F59" w:rsidRDefault="00480F59" w:rsidP="00116473">
      <w:pPr>
        <w:ind w:firstLine="708"/>
        <w:jc w:val="both"/>
        <w:rPr>
          <w:rFonts w:ascii="Arial" w:hAnsi="Arial" w:cs="Arial"/>
          <w:sz w:val="24"/>
          <w:szCs w:val="24"/>
        </w:rPr>
      </w:pPr>
    </w:p>
    <w:p w:rsidR="00281FC4" w:rsidRDefault="00281FC4" w:rsidP="00116473">
      <w:pPr>
        <w:ind w:firstLine="708"/>
        <w:jc w:val="both"/>
        <w:rPr>
          <w:rFonts w:ascii="Arial" w:hAnsi="Arial" w:cs="Arial"/>
          <w:sz w:val="24"/>
          <w:szCs w:val="24"/>
        </w:rPr>
      </w:pPr>
    </w:p>
    <w:p w:rsidR="00281FC4" w:rsidRDefault="00281FC4" w:rsidP="00116473">
      <w:pPr>
        <w:ind w:firstLine="708"/>
        <w:jc w:val="both"/>
        <w:rPr>
          <w:rFonts w:ascii="Arial" w:hAnsi="Arial" w:cs="Arial"/>
          <w:sz w:val="24"/>
          <w:szCs w:val="24"/>
        </w:rPr>
      </w:pPr>
    </w:p>
    <w:p w:rsidR="00281FC4" w:rsidRDefault="00281FC4" w:rsidP="00116473">
      <w:pPr>
        <w:ind w:firstLine="708"/>
        <w:jc w:val="both"/>
        <w:rPr>
          <w:rFonts w:ascii="Arial" w:hAnsi="Arial" w:cs="Arial"/>
          <w:sz w:val="24"/>
          <w:szCs w:val="24"/>
        </w:rPr>
      </w:pPr>
    </w:p>
    <w:p w:rsidR="00281FC4" w:rsidRDefault="00281FC4" w:rsidP="00116473">
      <w:pPr>
        <w:ind w:firstLine="708"/>
        <w:jc w:val="both"/>
        <w:rPr>
          <w:rFonts w:ascii="Arial" w:hAnsi="Arial" w:cs="Arial"/>
          <w:sz w:val="24"/>
          <w:szCs w:val="24"/>
        </w:rPr>
      </w:pPr>
    </w:p>
    <w:p w:rsidR="00281FC4" w:rsidRDefault="00281FC4" w:rsidP="00116473">
      <w:pPr>
        <w:ind w:firstLine="708"/>
        <w:jc w:val="both"/>
        <w:rPr>
          <w:rFonts w:ascii="Arial" w:hAnsi="Arial" w:cs="Arial"/>
          <w:sz w:val="24"/>
          <w:szCs w:val="24"/>
        </w:rPr>
      </w:pPr>
    </w:p>
    <w:p w:rsidR="00281FC4" w:rsidRDefault="00281FC4" w:rsidP="00116473">
      <w:pPr>
        <w:ind w:firstLine="708"/>
        <w:jc w:val="both"/>
        <w:rPr>
          <w:rFonts w:ascii="Arial" w:hAnsi="Arial" w:cs="Arial"/>
          <w:sz w:val="24"/>
          <w:szCs w:val="24"/>
        </w:rPr>
      </w:pPr>
    </w:p>
    <w:p w:rsidR="00281FC4" w:rsidRDefault="00281FC4" w:rsidP="00116473">
      <w:pPr>
        <w:ind w:firstLine="708"/>
        <w:jc w:val="both"/>
        <w:rPr>
          <w:rFonts w:ascii="Arial" w:hAnsi="Arial" w:cs="Arial"/>
          <w:sz w:val="24"/>
          <w:szCs w:val="24"/>
        </w:rPr>
      </w:pPr>
    </w:p>
    <w:p w:rsidR="00281FC4" w:rsidRDefault="00281FC4" w:rsidP="00116473">
      <w:pPr>
        <w:ind w:firstLine="708"/>
        <w:jc w:val="both"/>
        <w:rPr>
          <w:rFonts w:ascii="Arial" w:hAnsi="Arial" w:cs="Arial"/>
          <w:sz w:val="24"/>
          <w:szCs w:val="24"/>
        </w:rPr>
      </w:pPr>
    </w:p>
    <w:p w:rsidR="00281FC4" w:rsidRPr="003F70C2" w:rsidRDefault="00281FC4" w:rsidP="00116473">
      <w:pPr>
        <w:ind w:firstLine="708"/>
        <w:jc w:val="both"/>
        <w:rPr>
          <w:rFonts w:ascii="Arial" w:hAnsi="Arial" w:cs="Arial"/>
          <w:sz w:val="24"/>
          <w:szCs w:val="24"/>
        </w:rPr>
      </w:pPr>
    </w:p>
    <w:p w:rsidR="00DE265F" w:rsidRPr="00951AD8" w:rsidRDefault="00951AD8" w:rsidP="00951AD8">
      <w:pPr>
        <w:pStyle w:val="Naslov1"/>
      </w:pPr>
      <w:bookmarkStart w:id="1" w:name="_Toc507067599"/>
      <w:r>
        <w:lastRenderedPageBreak/>
        <w:t xml:space="preserve">1. </w:t>
      </w:r>
      <w:r w:rsidR="00DE265F" w:rsidRPr="00951AD8">
        <w:t xml:space="preserve">NAČELA </w:t>
      </w:r>
      <w:r w:rsidR="00772605" w:rsidRPr="00951AD8">
        <w:t xml:space="preserve">I OSNOVNE POSTUPOVNE ODREDBE </w:t>
      </w:r>
      <w:r w:rsidR="00DE265F" w:rsidRPr="00951AD8">
        <w:t>PREDSTEČAJNOG POSTUPKA</w:t>
      </w:r>
      <w:bookmarkEnd w:id="1"/>
    </w:p>
    <w:p w:rsidR="00DE265F" w:rsidRPr="003F70C2" w:rsidRDefault="00DE265F" w:rsidP="00951AD8">
      <w:pPr>
        <w:pStyle w:val="Naslov1"/>
        <w:rPr>
          <w:sz w:val="24"/>
          <w:szCs w:val="24"/>
        </w:rPr>
      </w:pPr>
    </w:p>
    <w:p w:rsidR="00DE265F" w:rsidRPr="00084C72" w:rsidRDefault="00951AD8" w:rsidP="00951AD8">
      <w:pPr>
        <w:pStyle w:val="Naslov2"/>
      </w:pPr>
      <w:bookmarkStart w:id="2" w:name="_Toc507067600"/>
      <w:r>
        <w:t>1.1.</w:t>
      </w:r>
      <w:r w:rsidR="00DE265F" w:rsidRPr="00084C72">
        <w:t>Načelo dispozicije</w:t>
      </w:r>
      <w:r w:rsidR="00004FAD" w:rsidRPr="00084C72">
        <w:t xml:space="preserve"> </w:t>
      </w:r>
      <w:r w:rsidR="00247860" w:rsidRPr="00084C72">
        <w:t xml:space="preserve">i </w:t>
      </w:r>
      <w:proofErr w:type="spellStart"/>
      <w:r w:rsidR="00247860" w:rsidRPr="00084C72">
        <w:t>oficioznosti</w:t>
      </w:r>
      <w:bookmarkEnd w:id="2"/>
      <w:proofErr w:type="spellEnd"/>
    </w:p>
    <w:p w:rsidR="00DE265F" w:rsidRPr="003F70C2" w:rsidRDefault="00DE265F" w:rsidP="00DE265F">
      <w:pPr>
        <w:pStyle w:val="Odlomakpopisa"/>
        <w:ind w:left="1069"/>
        <w:jc w:val="both"/>
        <w:rPr>
          <w:rFonts w:ascii="Arial" w:hAnsi="Arial" w:cs="Arial"/>
          <w:sz w:val="24"/>
          <w:szCs w:val="24"/>
        </w:rPr>
      </w:pPr>
    </w:p>
    <w:p w:rsidR="00DE265F" w:rsidRDefault="00DE265F" w:rsidP="00C319FF">
      <w:pPr>
        <w:pStyle w:val="Bezproreda"/>
        <w:ind w:firstLine="708"/>
        <w:jc w:val="both"/>
      </w:pPr>
      <w:proofErr w:type="spellStart"/>
      <w:r w:rsidRPr="003F70C2">
        <w:t>Predstečajni</w:t>
      </w:r>
      <w:proofErr w:type="spellEnd"/>
      <w:r w:rsidRPr="003F70C2">
        <w:t xml:space="preserve"> postupak pokreć</w:t>
      </w:r>
      <w:r w:rsidR="0045562A" w:rsidRPr="003F70C2">
        <w:t>u</w:t>
      </w:r>
      <w:r w:rsidRPr="003F70C2">
        <w:t xml:space="preserve"> ovlaštene osobe</w:t>
      </w:r>
      <w:r w:rsidR="00E6341B" w:rsidRPr="003F70C2">
        <w:rPr>
          <w:rStyle w:val="Referencafusnote"/>
          <w:rFonts w:cs="Arial"/>
          <w:szCs w:val="24"/>
        </w:rPr>
        <w:footnoteReference w:id="9"/>
      </w:r>
      <w:r w:rsidR="008D1C10">
        <w:t xml:space="preserve"> prijedlogom za otvaranje </w:t>
      </w:r>
      <w:proofErr w:type="spellStart"/>
      <w:r w:rsidR="008D1C10">
        <w:t>predstečajnog</w:t>
      </w:r>
      <w:proofErr w:type="spellEnd"/>
      <w:r w:rsidR="008D1C10">
        <w:t xml:space="preserve"> postupka</w:t>
      </w:r>
      <w:r w:rsidRPr="003F70C2">
        <w:t xml:space="preserve">. </w:t>
      </w:r>
    </w:p>
    <w:p w:rsidR="00C319FF" w:rsidRPr="003F70C2" w:rsidRDefault="00C319FF" w:rsidP="00C319FF">
      <w:pPr>
        <w:pStyle w:val="Bezproreda"/>
        <w:ind w:firstLine="708"/>
        <w:jc w:val="both"/>
      </w:pPr>
    </w:p>
    <w:p w:rsidR="00004FAD" w:rsidRDefault="00DE265F" w:rsidP="00C319FF">
      <w:pPr>
        <w:pStyle w:val="Bezproreda"/>
        <w:ind w:firstLine="708"/>
        <w:jc w:val="both"/>
      </w:pPr>
      <w:r w:rsidRPr="003F70C2">
        <w:t xml:space="preserve">Prijedlog za otvaranje </w:t>
      </w:r>
      <w:proofErr w:type="spellStart"/>
      <w:r w:rsidR="008D1C10">
        <w:t>predstečajnog</w:t>
      </w:r>
      <w:proofErr w:type="spellEnd"/>
      <w:r w:rsidR="008D1C10">
        <w:t xml:space="preserve"> postupka ovlašten je</w:t>
      </w:r>
      <w:r w:rsidRPr="003F70C2">
        <w:t xml:space="preserve"> podnijeti dužnik</w:t>
      </w:r>
      <w:r w:rsidR="008D1C10">
        <w:t xml:space="preserve">, ali i </w:t>
      </w:r>
      <w:r w:rsidRPr="003F70C2">
        <w:t>vjerovnik, ako se dužnik suglasi s njegovim prijedlogom. Ako je prijedlog za ot</w:t>
      </w:r>
      <w:r w:rsidR="002B1F41" w:rsidRPr="003F70C2">
        <w:t xml:space="preserve">varanje </w:t>
      </w:r>
      <w:proofErr w:type="spellStart"/>
      <w:r w:rsidR="002B1F41" w:rsidRPr="003F70C2">
        <w:t>predstečajnog</w:t>
      </w:r>
      <w:proofErr w:type="spellEnd"/>
      <w:r w:rsidRPr="003F70C2">
        <w:t xml:space="preserve"> postupka podnio vjerovnik, dužan je uz prijedlog dostaviti dužnikovu suglasnost s </w:t>
      </w:r>
      <w:r w:rsidR="008D1C10">
        <w:t xml:space="preserve">tim </w:t>
      </w:r>
      <w:r w:rsidRPr="003F70C2">
        <w:t>prijedlogom</w:t>
      </w:r>
      <w:r w:rsidRPr="003F70C2">
        <w:rPr>
          <w:rStyle w:val="Referencafusnote"/>
          <w:rFonts w:cs="Arial"/>
          <w:szCs w:val="24"/>
        </w:rPr>
        <w:footnoteReference w:id="10"/>
      </w:r>
      <w:r w:rsidRPr="003F70C2">
        <w:t>. U slučaju da je vjerovnik podnio prije</w:t>
      </w:r>
      <w:r w:rsidR="002B1F41" w:rsidRPr="003F70C2">
        <w:t xml:space="preserve">dlog za otvaranje </w:t>
      </w:r>
      <w:proofErr w:type="spellStart"/>
      <w:r w:rsidR="002B1F41" w:rsidRPr="003F70C2">
        <w:t>predstečajnog</w:t>
      </w:r>
      <w:proofErr w:type="spellEnd"/>
      <w:r w:rsidRPr="003F70C2">
        <w:t xml:space="preserve"> postupka bez dužnikove suglasnosti sud će takav prijedlog odbaciti rješenjem kao nedopušten bez pozivanja predlagatelja da ga dopuni</w:t>
      </w:r>
      <w:r w:rsidRPr="003F70C2">
        <w:rPr>
          <w:rStyle w:val="Referencafusnote"/>
          <w:rFonts w:cs="Arial"/>
          <w:szCs w:val="24"/>
        </w:rPr>
        <w:footnoteReference w:id="11"/>
      </w:r>
      <w:r w:rsidRPr="003F70C2">
        <w:t>.</w:t>
      </w:r>
      <w:r w:rsidR="00A814E8">
        <w:t xml:space="preserve"> U praksi nema </w:t>
      </w:r>
      <w:proofErr w:type="spellStart"/>
      <w:r w:rsidR="00A814E8">
        <w:t>predstečajnih</w:t>
      </w:r>
      <w:proofErr w:type="spellEnd"/>
      <w:r w:rsidR="00A814E8">
        <w:t xml:space="preserve"> postupaka koji su pokrenuti na prijedlog vjerovnika što je i razumljivo imajući u vidu da jedino dužnik ima </w:t>
      </w:r>
      <w:proofErr w:type="spellStart"/>
      <w:r w:rsidR="00A814E8">
        <w:t>poptuni</w:t>
      </w:r>
      <w:proofErr w:type="spellEnd"/>
      <w:r w:rsidR="00A814E8">
        <w:t xml:space="preserve"> uvid u svoju financijsku situaciju, a pored toga bez dužnikove suglasnosti vjerovnik ne može pokrenuti </w:t>
      </w:r>
      <w:proofErr w:type="spellStart"/>
      <w:r w:rsidR="00A814E8">
        <w:t>predstečajni</w:t>
      </w:r>
      <w:proofErr w:type="spellEnd"/>
      <w:r w:rsidR="00A814E8">
        <w:t xml:space="preserve"> postupak.</w:t>
      </w:r>
    </w:p>
    <w:p w:rsidR="00F12AE5" w:rsidRPr="003F70C2" w:rsidRDefault="00F12AE5" w:rsidP="00C319FF">
      <w:pPr>
        <w:pStyle w:val="Bezproreda"/>
        <w:jc w:val="both"/>
      </w:pPr>
    </w:p>
    <w:p w:rsidR="00A814E8" w:rsidRDefault="00024292" w:rsidP="00C319FF">
      <w:pPr>
        <w:pStyle w:val="Bezproreda"/>
        <w:jc w:val="both"/>
      </w:pPr>
      <w:r w:rsidRPr="003F70C2">
        <w:tab/>
      </w:r>
      <w:r w:rsidR="0045562A" w:rsidRPr="003F70C2">
        <w:t xml:space="preserve">Ako prijedlog za otvaranje </w:t>
      </w:r>
      <w:proofErr w:type="spellStart"/>
      <w:r w:rsidR="0045562A" w:rsidRPr="003F70C2">
        <w:t>predstečajnog</w:t>
      </w:r>
      <w:proofErr w:type="spellEnd"/>
      <w:r w:rsidR="0045562A" w:rsidRPr="003F70C2">
        <w:t xml:space="preserve"> postupka</w:t>
      </w:r>
      <w:r w:rsidR="00A814E8">
        <w:t xml:space="preserve"> sud odbaci</w:t>
      </w:r>
      <w:r w:rsidR="008D1C10">
        <w:t xml:space="preserve">, a </w:t>
      </w:r>
      <w:r w:rsidR="007D0A26">
        <w:t xml:space="preserve">utvrdi da su ispunjene pretpostavke za otvaranje stečajnog postupka, </w:t>
      </w:r>
      <w:r w:rsidR="0045562A" w:rsidRPr="003F70C2">
        <w:t xml:space="preserve">dužan </w:t>
      </w:r>
      <w:r w:rsidR="007D0A26">
        <w:t xml:space="preserve">je </w:t>
      </w:r>
      <w:r w:rsidR="0045562A" w:rsidRPr="003F70C2">
        <w:t xml:space="preserve">po službenoj dužnosti </w:t>
      </w:r>
      <w:r w:rsidRPr="003F70C2">
        <w:rPr>
          <w:lang w:val="x-none"/>
        </w:rPr>
        <w:t>nastavit</w:t>
      </w:r>
      <w:r w:rsidR="00796074" w:rsidRPr="003F70C2">
        <w:t>i</w:t>
      </w:r>
      <w:r w:rsidRPr="003F70C2">
        <w:rPr>
          <w:lang w:val="x-none"/>
        </w:rPr>
        <w:t xml:space="preserve"> postupak kao da je podnesen p</w:t>
      </w:r>
      <w:r w:rsidR="00796074" w:rsidRPr="003F70C2">
        <w:rPr>
          <w:lang w:val="x-none"/>
        </w:rPr>
        <w:t>rijedlog za otvaranje stečajnog</w:t>
      </w:r>
      <w:r w:rsidRPr="003F70C2">
        <w:rPr>
          <w:lang w:val="x-none"/>
        </w:rPr>
        <w:t xml:space="preserve"> postupka</w:t>
      </w:r>
      <w:r w:rsidR="00F9638B">
        <w:rPr>
          <w:rStyle w:val="Referencafusnote"/>
          <w:rFonts w:cs="Arial"/>
          <w:szCs w:val="24"/>
          <w:lang w:val="x-none"/>
        </w:rPr>
        <w:footnoteReference w:id="12"/>
      </w:r>
      <w:r w:rsidR="00247860" w:rsidRPr="003F70C2">
        <w:t>.</w:t>
      </w:r>
      <w:r w:rsidR="007874FF" w:rsidRPr="003F70C2">
        <w:t xml:space="preserve"> </w:t>
      </w:r>
      <w:r w:rsidR="00A814E8">
        <w:t xml:space="preserve">Međutim, </w:t>
      </w:r>
      <w:r w:rsidR="00796074" w:rsidRPr="003F70C2">
        <w:t>Z</w:t>
      </w:r>
      <w:r w:rsidR="003F70C2">
        <w:t xml:space="preserve">IDSZ-a </w:t>
      </w:r>
      <w:r w:rsidR="00796074" w:rsidRPr="003F70C2">
        <w:t xml:space="preserve">brisao je odredbu </w:t>
      </w:r>
      <w:r w:rsidR="00F9638B" w:rsidRPr="003F70C2">
        <w:t>članak 32. stavak 2. SZ-a</w:t>
      </w:r>
      <w:r w:rsidR="00BC3A0C">
        <w:rPr>
          <w:rStyle w:val="Referencafusnote"/>
          <w:rFonts w:cs="Arial"/>
          <w:szCs w:val="24"/>
        </w:rPr>
        <w:footnoteReference w:id="13"/>
      </w:r>
      <w:r w:rsidR="007D0A26">
        <w:t xml:space="preserve"> pa u </w:t>
      </w:r>
      <w:proofErr w:type="spellStart"/>
      <w:r w:rsidR="007D0A26">
        <w:t>predstečajnim</w:t>
      </w:r>
      <w:proofErr w:type="spellEnd"/>
      <w:r w:rsidR="007D0A26">
        <w:t xml:space="preserve"> postupcima koji su pokrenuti </w:t>
      </w:r>
      <w:r w:rsidR="00A814E8">
        <w:t xml:space="preserve">od </w:t>
      </w:r>
      <w:r w:rsidR="007D0A26">
        <w:t>2. studenog</w:t>
      </w:r>
      <w:r w:rsidR="00A814E8">
        <w:t>a</w:t>
      </w:r>
      <w:r w:rsidR="007D0A26">
        <w:t xml:space="preserve"> 2017. </w:t>
      </w:r>
      <w:r w:rsidR="00BC3A0C">
        <w:t xml:space="preserve">pa nadalje </w:t>
      </w:r>
      <w:r w:rsidR="00F9638B">
        <w:t xml:space="preserve">sud </w:t>
      </w:r>
      <w:r w:rsidR="007D0A26">
        <w:t xml:space="preserve">nema dužnost </w:t>
      </w:r>
      <w:r w:rsidR="00796074" w:rsidRPr="003F70C2">
        <w:t xml:space="preserve">nastaviti postupak </w:t>
      </w:r>
      <w:r w:rsidR="00BC3A0C">
        <w:t xml:space="preserve">kao da je podnesen prijedlog za otvaranje stečajnog postupka ako odbaci </w:t>
      </w:r>
      <w:r w:rsidR="00796074" w:rsidRPr="003F70C2">
        <w:t xml:space="preserve">prijedlog za otvaranje </w:t>
      </w:r>
      <w:proofErr w:type="spellStart"/>
      <w:r w:rsidR="00796074" w:rsidRPr="003F70C2">
        <w:t>predstečajnog</w:t>
      </w:r>
      <w:proofErr w:type="spellEnd"/>
      <w:r w:rsidR="00796074" w:rsidRPr="003F70C2">
        <w:t xml:space="preserve"> postupka. </w:t>
      </w:r>
    </w:p>
    <w:p w:rsidR="00C319FF" w:rsidRDefault="00C319FF" w:rsidP="00C319FF">
      <w:pPr>
        <w:pStyle w:val="Bezproreda"/>
        <w:jc w:val="both"/>
      </w:pPr>
    </w:p>
    <w:p w:rsidR="00C319FF" w:rsidRDefault="00796074" w:rsidP="00C319FF">
      <w:pPr>
        <w:pStyle w:val="Bezproreda"/>
        <w:ind w:firstLine="708"/>
        <w:jc w:val="both"/>
      </w:pPr>
      <w:r w:rsidRPr="003F70C2">
        <w:t xml:space="preserve">Međutim, </w:t>
      </w:r>
      <w:r w:rsidR="0096714C">
        <w:t>u</w:t>
      </w:r>
      <w:r w:rsidR="00A814E8">
        <w:t xml:space="preserve"> slučaj</w:t>
      </w:r>
      <w:r w:rsidR="0096714C">
        <w:t>u</w:t>
      </w:r>
      <w:r w:rsidR="00A814E8">
        <w:t xml:space="preserve"> obu</w:t>
      </w:r>
      <w:r w:rsidR="00B61AB9" w:rsidRPr="003F70C2">
        <w:t>stav</w:t>
      </w:r>
      <w:r w:rsidR="00A814E8">
        <w:t>e</w:t>
      </w:r>
      <w:r w:rsidR="00B61AB9" w:rsidRPr="003F70C2">
        <w:t xml:space="preserve"> otvoren</w:t>
      </w:r>
      <w:r w:rsidR="00A814E8">
        <w:t>og</w:t>
      </w:r>
      <w:r w:rsidR="00B61AB9" w:rsidRPr="003F70C2">
        <w:t xml:space="preserve"> </w:t>
      </w:r>
      <w:proofErr w:type="spellStart"/>
      <w:r w:rsidR="00B61AB9" w:rsidRPr="003F70C2">
        <w:t>predstečajn</w:t>
      </w:r>
      <w:r w:rsidR="00A814E8">
        <w:t>og</w:t>
      </w:r>
      <w:proofErr w:type="spellEnd"/>
      <w:r w:rsidR="00B61AB9" w:rsidRPr="003F70C2">
        <w:t xml:space="preserve"> postup</w:t>
      </w:r>
      <w:r w:rsidR="00A814E8">
        <w:t>ka</w:t>
      </w:r>
      <w:r w:rsidR="00B4622C">
        <w:t xml:space="preserve"> iz zakonom predviđenih razloga</w:t>
      </w:r>
      <w:r w:rsidR="00B61AB9" w:rsidRPr="003F70C2">
        <w:t xml:space="preserve">, </w:t>
      </w:r>
      <w:r w:rsidR="00A814E8">
        <w:t xml:space="preserve">zakon i dalje propisuje da će sud </w:t>
      </w:r>
      <w:r w:rsidR="00B61AB9" w:rsidRPr="003F70C2">
        <w:t xml:space="preserve">po službenoj dužnosti </w:t>
      </w:r>
      <w:r w:rsidR="008F09E7">
        <w:t xml:space="preserve">nakon obustave postupka </w:t>
      </w:r>
      <w:r w:rsidR="00B61AB9" w:rsidRPr="003F70C2">
        <w:t xml:space="preserve">nastaviti postupak kao da je podnesen </w:t>
      </w:r>
      <w:r w:rsidR="00B61AB9" w:rsidRPr="003F70C2">
        <w:rPr>
          <w:lang w:val="x-none"/>
        </w:rPr>
        <w:t>prijedlog za otvaranje stečajnog postupka</w:t>
      </w:r>
      <w:r w:rsidR="00B61AB9" w:rsidRPr="003F70C2">
        <w:t>, osim</w:t>
      </w:r>
      <w:r w:rsidR="0096714C">
        <w:t xml:space="preserve">: 1) </w:t>
      </w:r>
      <w:r w:rsidR="00A814E8">
        <w:t xml:space="preserve"> </w:t>
      </w:r>
      <w:r w:rsidR="00B61AB9" w:rsidRPr="003F70C2">
        <w:t xml:space="preserve">ako utvrdi da je dužnik sposoban za plaćanje i </w:t>
      </w:r>
      <w:r w:rsidR="0096714C">
        <w:t xml:space="preserve">2) </w:t>
      </w:r>
      <w:r w:rsidR="00B61AB9" w:rsidRPr="003F70C2">
        <w:t>da je ispunio sve obveze prema vjerovnicima</w:t>
      </w:r>
      <w:r w:rsidR="00B61AB9" w:rsidRPr="003F70C2">
        <w:rPr>
          <w:rStyle w:val="Referencafusnote"/>
          <w:rFonts w:cs="Arial"/>
          <w:szCs w:val="24"/>
        </w:rPr>
        <w:footnoteReference w:id="14"/>
      </w:r>
      <w:r w:rsidR="00F9638B">
        <w:t xml:space="preserve">. </w:t>
      </w:r>
      <w:r w:rsidR="007C3743">
        <w:t xml:space="preserve">Oba uvjeta moraju biti ispunjena kumulativno. </w:t>
      </w:r>
      <w:proofErr w:type="spellStart"/>
      <w:r w:rsidR="00F9638B">
        <w:t>Novota</w:t>
      </w:r>
      <w:proofErr w:type="spellEnd"/>
      <w:r w:rsidR="00F9638B">
        <w:t xml:space="preserve"> je što je u odredbi članka 64. stavak 1. SZ-a iza riječi </w:t>
      </w:r>
      <w:r w:rsidR="007C3743">
        <w:t>„</w:t>
      </w:r>
      <w:r w:rsidR="00F9638B">
        <w:t>obustaviti</w:t>
      </w:r>
      <w:r w:rsidR="007C3743">
        <w:t>“</w:t>
      </w:r>
      <w:r w:rsidR="00F9638B">
        <w:t xml:space="preserve"> dodana riječ „otvoreni“. Pravilom tumačenja </w:t>
      </w:r>
      <w:proofErr w:type="spellStart"/>
      <w:r w:rsidR="00F70A74">
        <w:rPr>
          <w:i/>
        </w:rPr>
        <w:t>argumentum</w:t>
      </w:r>
      <w:proofErr w:type="spellEnd"/>
      <w:r w:rsidR="00F70A74">
        <w:rPr>
          <w:i/>
        </w:rPr>
        <w:t xml:space="preserve"> a </w:t>
      </w:r>
      <w:proofErr w:type="spellStart"/>
      <w:r w:rsidR="00F70A74">
        <w:rPr>
          <w:i/>
        </w:rPr>
        <w:t>contrario</w:t>
      </w:r>
      <w:proofErr w:type="spellEnd"/>
      <w:r w:rsidR="00F70A74">
        <w:rPr>
          <w:i/>
        </w:rPr>
        <w:t>,</w:t>
      </w:r>
      <w:r w:rsidR="00A814E8">
        <w:rPr>
          <w:i/>
        </w:rPr>
        <w:t xml:space="preserve"> </w:t>
      </w:r>
      <w:r w:rsidR="00A814E8" w:rsidRPr="00F70A74">
        <w:t>može se zaključiti da sud nije dužan</w:t>
      </w:r>
      <w:r w:rsidR="00F9638B">
        <w:t xml:space="preserve"> </w:t>
      </w:r>
      <w:r w:rsidR="00F70A74">
        <w:t>nastaviti postupak</w:t>
      </w:r>
      <w:r w:rsidR="00F70A74" w:rsidRPr="00DF2F9C">
        <w:t xml:space="preserve"> </w:t>
      </w:r>
      <w:r w:rsidR="00F70A74" w:rsidRPr="003F70C2">
        <w:t xml:space="preserve">kao da je podnesen </w:t>
      </w:r>
      <w:r w:rsidR="00F70A74" w:rsidRPr="003F70C2">
        <w:rPr>
          <w:lang w:val="x-none"/>
        </w:rPr>
        <w:t>prijedlog za otvaranje stečajnog postupka</w:t>
      </w:r>
      <w:r w:rsidR="00F70A74">
        <w:t xml:space="preserve"> ako </w:t>
      </w:r>
      <w:r w:rsidR="00DF2F9C">
        <w:t xml:space="preserve">rješenjem </w:t>
      </w:r>
      <w:r w:rsidR="00E833B4">
        <w:t xml:space="preserve">obustavi </w:t>
      </w:r>
      <w:proofErr w:type="spellStart"/>
      <w:r w:rsidR="00E833B4">
        <w:t>predstečajni</w:t>
      </w:r>
      <w:proofErr w:type="spellEnd"/>
      <w:r w:rsidR="00E833B4">
        <w:t xml:space="preserve"> </w:t>
      </w:r>
      <w:r w:rsidR="00F9638B">
        <w:t xml:space="preserve">postupak </w:t>
      </w:r>
      <w:r w:rsidR="00E833B4">
        <w:t>koji nije otvoren</w:t>
      </w:r>
      <w:r w:rsidR="000A69FC">
        <w:rPr>
          <w:rStyle w:val="Referencafusnote"/>
          <w:rFonts w:cs="Arial"/>
          <w:szCs w:val="24"/>
          <w:lang w:val="x-none"/>
        </w:rPr>
        <w:footnoteReference w:id="15"/>
      </w:r>
      <w:r w:rsidR="000A69FC">
        <w:t>.</w:t>
      </w:r>
      <w:r w:rsidR="00F70A74">
        <w:t xml:space="preserve"> </w:t>
      </w:r>
      <w:r w:rsidR="00685F38">
        <w:t>M</w:t>
      </w:r>
      <w:r w:rsidR="007C3743">
        <w:t xml:space="preserve">ogućnost obustave </w:t>
      </w:r>
      <w:proofErr w:type="spellStart"/>
      <w:r w:rsidR="007C3743">
        <w:t>predstečajnog</w:t>
      </w:r>
      <w:proofErr w:type="spellEnd"/>
      <w:r w:rsidR="007C3743">
        <w:t xml:space="preserve"> postupka prije donošenje rješenja o otvaranju </w:t>
      </w:r>
      <w:proofErr w:type="spellStart"/>
      <w:r w:rsidR="007C3743">
        <w:t>predstečajnog</w:t>
      </w:r>
      <w:proofErr w:type="spellEnd"/>
      <w:r w:rsidR="007C3743">
        <w:t xml:space="preserve"> postupka</w:t>
      </w:r>
      <w:r w:rsidR="00685F38">
        <w:t xml:space="preserve"> zakon propisuje samo u slučaju povlačenja prijedloga</w:t>
      </w:r>
      <w:r w:rsidR="00871BF7" w:rsidRPr="00871BF7">
        <w:t xml:space="preserve"> </w:t>
      </w:r>
      <w:r w:rsidR="00871BF7" w:rsidRPr="003F70C2">
        <w:t xml:space="preserve">za otvaranje </w:t>
      </w:r>
      <w:proofErr w:type="spellStart"/>
      <w:r w:rsidR="00871BF7" w:rsidRPr="003F70C2">
        <w:t>predstečajnog</w:t>
      </w:r>
      <w:proofErr w:type="spellEnd"/>
      <w:r w:rsidR="00871BF7" w:rsidRPr="003F70C2">
        <w:t xml:space="preserve"> postupka</w:t>
      </w:r>
      <w:r w:rsidR="00685F38">
        <w:t xml:space="preserve">. Slijedom toga, ako predlagatelj povuče prijedlog i sud obustavi </w:t>
      </w:r>
      <w:proofErr w:type="spellStart"/>
      <w:r w:rsidR="00685F38">
        <w:t>predstečajni</w:t>
      </w:r>
      <w:proofErr w:type="spellEnd"/>
      <w:r w:rsidR="00685F38">
        <w:t xml:space="preserve"> postupak</w:t>
      </w:r>
      <w:r w:rsidR="00871BF7">
        <w:t>,</w:t>
      </w:r>
      <w:r w:rsidR="00871BF7" w:rsidRPr="00871BF7">
        <w:t xml:space="preserve"> </w:t>
      </w:r>
      <w:r w:rsidR="00871BF7">
        <w:t xml:space="preserve">sud </w:t>
      </w:r>
      <w:r w:rsidR="00871BF7" w:rsidRPr="00F70A74">
        <w:t>nije dužan</w:t>
      </w:r>
      <w:r w:rsidR="00871BF7">
        <w:t xml:space="preserve"> nastaviti postupak</w:t>
      </w:r>
      <w:r w:rsidR="00871BF7" w:rsidRPr="00DF2F9C">
        <w:t xml:space="preserve"> </w:t>
      </w:r>
      <w:r w:rsidR="00871BF7" w:rsidRPr="003F70C2">
        <w:t xml:space="preserve">kao da je podnesen </w:t>
      </w:r>
      <w:r w:rsidR="00871BF7" w:rsidRPr="003F70C2">
        <w:rPr>
          <w:lang w:val="x-none"/>
        </w:rPr>
        <w:t>prijedlog za otvaranje stečajnog postupka</w:t>
      </w:r>
      <w:r w:rsidR="00871BF7">
        <w:t>.</w:t>
      </w:r>
    </w:p>
    <w:p w:rsidR="0096714C" w:rsidRDefault="00685F38" w:rsidP="00C319FF">
      <w:pPr>
        <w:pStyle w:val="Bezproreda"/>
        <w:ind w:firstLine="708"/>
        <w:jc w:val="both"/>
      </w:pPr>
      <w:r>
        <w:t xml:space="preserve"> </w:t>
      </w:r>
    </w:p>
    <w:p w:rsidR="00C319FF" w:rsidRDefault="00500B22" w:rsidP="00C319FF">
      <w:pPr>
        <w:pStyle w:val="Bezproreda"/>
        <w:jc w:val="both"/>
      </w:pPr>
      <w:r w:rsidRPr="003F70C2">
        <w:tab/>
      </w:r>
      <w:r w:rsidRPr="003F70C2">
        <w:rPr>
          <w:lang w:val="x-none"/>
        </w:rPr>
        <w:t>Za vrijeme likvidaci</w:t>
      </w:r>
      <w:r w:rsidR="00595990">
        <w:t xml:space="preserve">je </w:t>
      </w:r>
      <w:r w:rsidRPr="003F70C2">
        <w:rPr>
          <w:lang w:val="x-none"/>
        </w:rPr>
        <w:t>pravn</w:t>
      </w:r>
      <w:r w:rsidR="00595990">
        <w:t xml:space="preserve">e </w:t>
      </w:r>
      <w:r w:rsidRPr="003F70C2">
        <w:rPr>
          <w:lang w:val="x-none"/>
        </w:rPr>
        <w:t>osob</w:t>
      </w:r>
      <w:r w:rsidR="00595990">
        <w:t>e</w:t>
      </w:r>
      <w:r w:rsidRPr="003F70C2">
        <w:rPr>
          <w:lang w:val="x-none"/>
        </w:rPr>
        <w:t xml:space="preserve"> nije dopušteno pokretanje </w:t>
      </w:r>
      <w:proofErr w:type="spellStart"/>
      <w:r w:rsidRPr="003F70C2">
        <w:rPr>
          <w:lang w:val="x-none"/>
        </w:rPr>
        <w:t>predstečajnog</w:t>
      </w:r>
      <w:proofErr w:type="spellEnd"/>
      <w:r w:rsidRPr="003F70C2">
        <w:rPr>
          <w:lang w:val="x-none"/>
        </w:rPr>
        <w:t xml:space="preserve"> postupka, a pokretanje stečajnog postupka dopušteno je dok se ne provede podjela imovine</w:t>
      </w:r>
      <w:r w:rsidRPr="003F70C2">
        <w:rPr>
          <w:rStyle w:val="Referencafusnote"/>
          <w:rFonts w:cs="Arial"/>
          <w:szCs w:val="24"/>
          <w:lang w:val="x-none"/>
        </w:rPr>
        <w:footnoteReference w:id="16"/>
      </w:r>
      <w:r w:rsidRPr="003F70C2">
        <w:rPr>
          <w:lang w:val="x-none"/>
        </w:rPr>
        <w:t>.</w:t>
      </w:r>
      <w:r w:rsidR="0095639E">
        <w:t xml:space="preserve"> Pokretanjem </w:t>
      </w:r>
      <w:r w:rsidR="0095639E">
        <w:lastRenderedPageBreak/>
        <w:t xml:space="preserve">likvidacije članovi društva žele </w:t>
      </w:r>
      <w:proofErr w:type="spellStart"/>
      <w:r w:rsidR="0095639E">
        <w:t>likvidarati</w:t>
      </w:r>
      <w:proofErr w:type="spellEnd"/>
      <w:r w:rsidR="0095639E">
        <w:t xml:space="preserve"> društvo</w:t>
      </w:r>
      <w:r w:rsidR="008F09E7">
        <w:t>,</w:t>
      </w:r>
      <w:r w:rsidR="0095639E">
        <w:t xml:space="preserve"> pa sve dok vode postupak likvidacije nema svrhe pokretati </w:t>
      </w:r>
      <w:proofErr w:type="spellStart"/>
      <w:r w:rsidR="0095639E">
        <w:t>predstečajni</w:t>
      </w:r>
      <w:proofErr w:type="spellEnd"/>
      <w:r w:rsidR="0095639E">
        <w:t xml:space="preserve"> postupak koji ima sasvim druge ciljeve (nastavak poslovanja). Nakon podjele </w:t>
      </w:r>
      <w:proofErr w:type="spellStart"/>
      <w:r w:rsidR="0095639E">
        <w:t>likvidacione</w:t>
      </w:r>
      <w:proofErr w:type="spellEnd"/>
      <w:r w:rsidR="0095639E">
        <w:t xml:space="preserve"> mase nema svrhe pokretati </w:t>
      </w:r>
      <w:r w:rsidR="00595990">
        <w:t xml:space="preserve">ni </w:t>
      </w:r>
      <w:r w:rsidR="0095639E">
        <w:t>stečajni postupak u kojemu ne bi bilo imovine koja bi činila stečajnu masu.</w:t>
      </w:r>
    </w:p>
    <w:p w:rsidR="00500B22" w:rsidRPr="0095639E" w:rsidRDefault="0095639E" w:rsidP="00C319FF">
      <w:pPr>
        <w:pStyle w:val="Bezproreda"/>
        <w:jc w:val="both"/>
      </w:pPr>
      <w:r>
        <w:t xml:space="preserve"> </w:t>
      </w:r>
    </w:p>
    <w:p w:rsidR="00DF2F9C" w:rsidRDefault="00500B22" w:rsidP="00C319FF">
      <w:pPr>
        <w:pStyle w:val="Bezproreda"/>
        <w:jc w:val="both"/>
      </w:pPr>
      <w:r w:rsidRPr="003F70C2">
        <w:tab/>
      </w:r>
      <w:r w:rsidR="00DF2F9C">
        <w:t>A</w:t>
      </w:r>
      <w:proofErr w:type="spellStart"/>
      <w:r w:rsidR="00DF2F9C" w:rsidRPr="003F70C2">
        <w:rPr>
          <w:lang w:val="x-none"/>
        </w:rPr>
        <w:t>ko</w:t>
      </w:r>
      <w:proofErr w:type="spellEnd"/>
      <w:r w:rsidR="00DF2F9C" w:rsidRPr="003F70C2">
        <w:rPr>
          <w:lang w:val="x-none"/>
        </w:rPr>
        <w:t xml:space="preserve"> je pokrenut </w:t>
      </w:r>
      <w:proofErr w:type="spellStart"/>
      <w:r w:rsidR="00DF2F9C" w:rsidRPr="003F70C2">
        <w:rPr>
          <w:lang w:val="x-none"/>
        </w:rPr>
        <w:t>predstečajni</w:t>
      </w:r>
      <w:proofErr w:type="spellEnd"/>
      <w:r w:rsidR="00DF2F9C" w:rsidRPr="003F70C2">
        <w:rPr>
          <w:lang w:val="x-none"/>
        </w:rPr>
        <w:t xml:space="preserve"> postupak, do njegova završetka nije</w:t>
      </w:r>
      <w:r w:rsidR="008F09E7">
        <w:rPr>
          <w:lang w:val="x-none"/>
        </w:rPr>
        <w:t xml:space="preserve"> dopušteno pokretanje stečajnog</w:t>
      </w:r>
      <w:r w:rsidR="00DF2F9C" w:rsidRPr="003F70C2">
        <w:rPr>
          <w:lang w:val="x-none"/>
        </w:rPr>
        <w:t xml:space="preserve"> postupka</w:t>
      </w:r>
      <w:r w:rsidR="00DF2F9C" w:rsidRPr="003F70C2">
        <w:rPr>
          <w:rStyle w:val="Referencafusnote"/>
          <w:rFonts w:cs="Arial"/>
          <w:szCs w:val="24"/>
          <w:lang w:val="x-none"/>
        </w:rPr>
        <w:footnoteReference w:id="17"/>
      </w:r>
      <w:r w:rsidR="00DF2F9C" w:rsidRPr="003F70C2">
        <w:rPr>
          <w:lang w:val="x-none"/>
        </w:rPr>
        <w:t>.</w:t>
      </w:r>
      <w:r w:rsidR="00DF2F9C" w:rsidRPr="003F70C2">
        <w:t xml:space="preserve"> </w:t>
      </w:r>
      <w:r w:rsidR="002B1F41" w:rsidRPr="003F70C2">
        <w:t xml:space="preserve"> </w:t>
      </w:r>
    </w:p>
    <w:p w:rsidR="00C319FF" w:rsidRDefault="00C319FF" w:rsidP="00C319FF">
      <w:pPr>
        <w:pStyle w:val="Bezproreda"/>
        <w:jc w:val="both"/>
      </w:pPr>
    </w:p>
    <w:p w:rsidR="00480F59" w:rsidRDefault="00B4622C" w:rsidP="00C319FF">
      <w:pPr>
        <w:pStyle w:val="Bezproreda"/>
        <w:ind w:firstLine="708"/>
        <w:jc w:val="both"/>
        <w:rPr>
          <w:i/>
        </w:rPr>
      </w:pPr>
      <w:r>
        <w:t xml:space="preserve">S druge strane, </w:t>
      </w:r>
      <w:r w:rsidR="00595990">
        <w:t>pokretanje ste</w:t>
      </w:r>
      <w:r w:rsidR="009F70FE">
        <w:t xml:space="preserve">čajnog postupka nije bila </w:t>
      </w:r>
      <w:r w:rsidR="00F0749B">
        <w:t>zapreka</w:t>
      </w:r>
      <w:r w:rsidR="00595990">
        <w:t xml:space="preserve"> za podnošenje prijedloga za otvaranje </w:t>
      </w:r>
      <w:proofErr w:type="spellStart"/>
      <w:r w:rsidR="00595990">
        <w:t>predstečajnog</w:t>
      </w:r>
      <w:proofErr w:type="spellEnd"/>
      <w:r w:rsidR="00595990">
        <w:t xml:space="preserve"> postupka. </w:t>
      </w:r>
      <w:proofErr w:type="spellStart"/>
      <w:r w:rsidR="00DF2F9C">
        <w:t>Predstečajni</w:t>
      </w:r>
      <w:proofErr w:type="spellEnd"/>
      <w:r w:rsidR="00DF2F9C">
        <w:t xml:space="preserve"> postupak mogao se pokrenuti </w:t>
      </w:r>
      <w:r w:rsidR="000A69FC">
        <w:t xml:space="preserve">sve </w:t>
      </w:r>
      <w:r w:rsidR="00DF2F9C">
        <w:t xml:space="preserve">do dana otvaranja stečajnog postupka. </w:t>
      </w:r>
      <w:r w:rsidR="009F70FE">
        <w:t xml:space="preserve">U slučaju podnošenja prijedloga za otvaranje stečajnog postupka od strane vjerovnika, </w:t>
      </w:r>
      <w:r w:rsidR="00F0749B">
        <w:t xml:space="preserve">nije rijedak slučaj da su </w:t>
      </w:r>
      <w:r w:rsidR="009F70FE">
        <w:t xml:space="preserve">dužnici podnosili prijedlog za otvaranje </w:t>
      </w:r>
      <w:proofErr w:type="spellStart"/>
      <w:r w:rsidR="009F70FE">
        <w:t>predstečajnog</w:t>
      </w:r>
      <w:proofErr w:type="spellEnd"/>
      <w:r w:rsidR="009F70FE">
        <w:t xml:space="preserve"> postupaka</w:t>
      </w:r>
      <w:r w:rsidR="00F0749B">
        <w:t xml:space="preserve"> s ciljem onemogućavanja vođenja</w:t>
      </w:r>
      <w:r w:rsidR="009F70FE">
        <w:t xml:space="preserve"> stečajnog postupka bez stvarne namjere da provedu </w:t>
      </w:r>
      <w:proofErr w:type="spellStart"/>
      <w:r w:rsidR="009F70FE">
        <w:t>predstečajni</w:t>
      </w:r>
      <w:proofErr w:type="spellEnd"/>
      <w:r w:rsidR="009F70FE">
        <w:t xml:space="preserve"> postupak. Na taj </w:t>
      </w:r>
      <w:r w:rsidR="006A224C">
        <w:t xml:space="preserve">su </w:t>
      </w:r>
      <w:r w:rsidR="009F70FE">
        <w:t xml:space="preserve">način dužnici </w:t>
      </w:r>
      <w:r w:rsidR="006A224C">
        <w:t>„</w:t>
      </w:r>
      <w:r w:rsidR="009F70FE">
        <w:t>kupovali</w:t>
      </w:r>
      <w:r w:rsidR="006A224C">
        <w:t>“</w:t>
      </w:r>
      <w:r w:rsidR="009F70FE">
        <w:t xml:space="preserve"> određeno vrijeme iako su bili svjesni da </w:t>
      </w:r>
      <w:proofErr w:type="spellStart"/>
      <w:r w:rsidR="009F70FE">
        <w:t>pre</w:t>
      </w:r>
      <w:r w:rsidR="008F09E7">
        <w:t>d</w:t>
      </w:r>
      <w:r w:rsidR="009F70FE">
        <w:t>stečajni</w:t>
      </w:r>
      <w:proofErr w:type="spellEnd"/>
      <w:r w:rsidR="009F70FE">
        <w:t xml:space="preserve"> postupak neće uspjeti. Zloupotreba prava na pokretanja </w:t>
      </w:r>
      <w:proofErr w:type="spellStart"/>
      <w:r w:rsidR="009F70FE">
        <w:t>predstečajnih</w:t>
      </w:r>
      <w:proofErr w:type="spellEnd"/>
      <w:r w:rsidR="009F70FE">
        <w:t xml:space="preserve"> postupaka</w:t>
      </w:r>
      <w:r w:rsidR="008F09E7">
        <w:t>,</w:t>
      </w:r>
      <w:r w:rsidR="009F70FE">
        <w:t xml:space="preserve"> nakon što je podnesen prijedlog za otvaranje stečajnog postupka</w:t>
      </w:r>
      <w:r w:rsidR="008F09E7">
        <w:t>,</w:t>
      </w:r>
      <w:r w:rsidR="009F70FE">
        <w:t xml:space="preserve"> onemogućena je o</w:t>
      </w:r>
      <w:r w:rsidR="00DF2F9C">
        <w:t xml:space="preserve">dredbom članka 4. ZIDSZ-a </w:t>
      </w:r>
      <w:r w:rsidR="009F70FE">
        <w:t xml:space="preserve">kojom je </w:t>
      </w:r>
      <w:r w:rsidR="00DF2F9C">
        <w:t xml:space="preserve">dodan stavak 3. u članku 15. SZ-a </w:t>
      </w:r>
      <w:r w:rsidR="006A224C">
        <w:t xml:space="preserve">koji glasi: </w:t>
      </w:r>
      <w:r w:rsidR="006A224C" w:rsidRPr="006A224C">
        <w:rPr>
          <w:i/>
        </w:rPr>
        <w:t>A</w:t>
      </w:r>
      <w:r w:rsidR="000A69FC" w:rsidRPr="006A224C">
        <w:rPr>
          <w:i/>
        </w:rPr>
        <w:t>ko je pokrenut stečajni postupak</w:t>
      </w:r>
      <w:r w:rsidR="00F0749B">
        <w:rPr>
          <w:i/>
        </w:rPr>
        <w:t>,</w:t>
      </w:r>
      <w:r w:rsidR="006A224C" w:rsidRPr="006A224C">
        <w:rPr>
          <w:i/>
        </w:rPr>
        <w:t xml:space="preserve"> nije dopušteno pokretanje </w:t>
      </w:r>
      <w:proofErr w:type="spellStart"/>
      <w:r w:rsidR="006A224C" w:rsidRPr="006A224C">
        <w:rPr>
          <w:i/>
        </w:rPr>
        <w:t>predstečajnog</w:t>
      </w:r>
      <w:proofErr w:type="spellEnd"/>
      <w:r w:rsidR="006A224C" w:rsidRPr="006A224C">
        <w:rPr>
          <w:i/>
        </w:rPr>
        <w:t xml:space="preserve"> postupka</w:t>
      </w:r>
      <w:r w:rsidR="00DF2F9C" w:rsidRPr="006A224C">
        <w:rPr>
          <w:i/>
        </w:rPr>
        <w:t>.</w:t>
      </w:r>
      <w:r w:rsidR="002B1F41" w:rsidRPr="006A224C">
        <w:rPr>
          <w:i/>
        </w:rPr>
        <w:t xml:space="preserve"> </w:t>
      </w:r>
    </w:p>
    <w:p w:rsidR="00C319FF" w:rsidRPr="006A224C" w:rsidRDefault="00C319FF" w:rsidP="00C319FF">
      <w:pPr>
        <w:pStyle w:val="Bezproreda"/>
        <w:ind w:firstLine="708"/>
        <w:jc w:val="both"/>
        <w:rPr>
          <w:i/>
        </w:rPr>
      </w:pPr>
    </w:p>
    <w:p w:rsidR="000A69FC" w:rsidRDefault="00500B22" w:rsidP="00C319FF">
      <w:pPr>
        <w:pStyle w:val="Bezproreda"/>
        <w:jc w:val="both"/>
      </w:pPr>
      <w:r w:rsidRPr="003F70C2">
        <w:tab/>
      </w:r>
      <w:r w:rsidR="00B97ABE">
        <w:t>Zakon nije dopuštao povlačenje p</w:t>
      </w:r>
      <w:r w:rsidR="00B4622C">
        <w:t>rijedlog</w:t>
      </w:r>
      <w:r w:rsidR="00B97ABE">
        <w:t>a</w:t>
      </w:r>
      <w:r w:rsidR="00B4622C">
        <w:t xml:space="preserve"> za otvaranje </w:t>
      </w:r>
      <w:proofErr w:type="spellStart"/>
      <w:r w:rsidRPr="003F70C2">
        <w:rPr>
          <w:lang w:val="x-none"/>
        </w:rPr>
        <w:t>predstečajnog</w:t>
      </w:r>
      <w:proofErr w:type="spellEnd"/>
      <w:r w:rsidR="002B1F41" w:rsidRPr="003F70C2">
        <w:t xml:space="preserve"> postupka </w:t>
      </w:r>
      <w:r w:rsidR="00B4622C">
        <w:t xml:space="preserve">što je </w:t>
      </w:r>
      <w:proofErr w:type="spellStart"/>
      <w:r w:rsidR="00B4622C">
        <w:t>uveliko</w:t>
      </w:r>
      <w:proofErr w:type="spellEnd"/>
      <w:r w:rsidR="00B4622C">
        <w:t xml:space="preserve"> ograničavalo </w:t>
      </w:r>
      <w:r w:rsidR="00B97ABE">
        <w:t>predlagatelj</w:t>
      </w:r>
      <w:r w:rsidR="00685F38">
        <w:t>evo pravo slobodno</w:t>
      </w:r>
      <w:r w:rsidR="006A224C">
        <w:t>g</w:t>
      </w:r>
      <w:r w:rsidR="00685F38">
        <w:t xml:space="preserve"> disponira</w:t>
      </w:r>
      <w:r w:rsidR="006A224C">
        <w:t>nja</w:t>
      </w:r>
      <w:r w:rsidR="00685F38">
        <w:t xml:space="preserve"> s prijedlogom za otvaranje </w:t>
      </w:r>
      <w:proofErr w:type="spellStart"/>
      <w:r w:rsidR="00685F38">
        <w:t>predstečajnog</w:t>
      </w:r>
      <w:proofErr w:type="spellEnd"/>
      <w:r w:rsidR="00685F38">
        <w:t xml:space="preserve"> postupka. Nemogućnost povlačenja prijedloga za otvaranje </w:t>
      </w:r>
      <w:proofErr w:type="spellStart"/>
      <w:r w:rsidR="00685F38">
        <w:t>pr</w:t>
      </w:r>
      <w:r w:rsidR="006A224C">
        <w:t>e</w:t>
      </w:r>
      <w:r w:rsidR="00685F38">
        <w:t>dstečajnog</w:t>
      </w:r>
      <w:proofErr w:type="spellEnd"/>
      <w:r w:rsidR="00685F38">
        <w:t xml:space="preserve"> postupka u pravilu je </w:t>
      </w:r>
      <w:r w:rsidR="00F0749B">
        <w:t>rezultiralo</w:t>
      </w:r>
      <w:r w:rsidR="006A224C">
        <w:t xml:space="preserve"> </w:t>
      </w:r>
      <w:r w:rsidR="00685F38">
        <w:t>otvaranj</w:t>
      </w:r>
      <w:r w:rsidR="006A224C">
        <w:t>em</w:t>
      </w:r>
      <w:r w:rsidR="00685F38">
        <w:t xml:space="preserve"> stečajnog postupka ako sudionici ne bi sklopili </w:t>
      </w:r>
      <w:proofErr w:type="spellStart"/>
      <w:r w:rsidR="00685F38">
        <w:t>predstečajni</w:t>
      </w:r>
      <w:proofErr w:type="spellEnd"/>
      <w:r w:rsidR="00685F38">
        <w:t xml:space="preserve"> sporazum. To je bio i jedan od razloga što dužnici nisu u većem broju</w:t>
      </w:r>
      <w:r w:rsidR="00685F38" w:rsidRPr="00685F38">
        <w:t xml:space="preserve"> </w:t>
      </w:r>
      <w:r w:rsidR="00685F38">
        <w:t xml:space="preserve">podnosili prijedlog za otvaranje </w:t>
      </w:r>
      <w:proofErr w:type="spellStart"/>
      <w:r w:rsidR="00685F38" w:rsidRPr="003F70C2">
        <w:rPr>
          <w:lang w:val="x-none"/>
        </w:rPr>
        <w:t>predstečajnog</w:t>
      </w:r>
      <w:proofErr w:type="spellEnd"/>
      <w:r w:rsidR="00685F38">
        <w:t xml:space="preserve"> postupka. </w:t>
      </w:r>
      <w:r w:rsidR="00B4622C">
        <w:t xml:space="preserve">ZIDSZ </w:t>
      </w:r>
      <w:r w:rsidR="00685F38">
        <w:t xml:space="preserve">uveo je mogućnost </w:t>
      </w:r>
      <w:r w:rsidR="00B4622C">
        <w:t>povlačenj</w:t>
      </w:r>
      <w:r w:rsidR="00685F38">
        <w:t>a</w:t>
      </w:r>
      <w:r w:rsidR="00B4622C">
        <w:t xml:space="preserve"> prijedloga za otvaranje </w:t>
      </w:r>
      <w:proofErr w:type="spellStart"/>
      <w:r w:rsidR="00B4622C">
        <w:t>predstečajnog</w:t>
      </w:r>
      <w:proofErr w:type="spellEnd"/>
      <w:r w:rsidR="00685F38">
        <w:t xml:space="preserve"> postupka</w:t>
      </w:r>
      <w:r w:rsidR="00B4622C">
        <w:t xml:space="preserve">, sve do </w:t>
      </w:r>
      <w:r w:rsidR="002B1F41" w:rsidRPr="003F70C2">
        <w:t xml:space="preserve">donošenja rješenja o otvaranju </w:t>
      </w:r>
      <w:proofErr w:type="spellStart"/>
      <w:r w:rsidR="002B1F41" w:rsidRPr="003F70C2">
        <w:t>predstečajnog</w:t>
      </w:r>
      <w:proofErr w:type="spellEnd"/>
      <w:r w:rsidR="002B1F41" w:rsidRPr="003F70C2">
        <w:t xml:space="preserve"> postupka odnosno donošenja rješenja o odbacivanju prijedloga</w:t>
      </w:r>
      <w:r w:rsidRPr="003F70C2">
        <w:rPr>
          <w:rStyle w:val="Referencafusnote"/>
          <w:rFonts w:cs="Arial"/>
          <w:szCs w:val="24"/>
          <w:lang w:val="x-none"/>
        </w:rPr>
        <w:footnoteReference w:id="18"/>
      </w:r>
      <w:r w:rsidRPr="003F70C2">
        <w:rPr>
          <w:lang w:val="x-none"/>
        </w:rPr>
        <w:t>.</w:t>
      </w:r>
      <w:r w:rsidR="000A69FC">
        <w:t xml:space="preserve"> U slučaju </w:t>
      </w:r>
      <w:r w:rsidR="00B4622C">
        <w:t xml:space="preserve">povlačenja prijedloga </w:t>
      </w:r>
      <w:r w:rsidR="000A69FC">
        <w:t xml:space="preserve">sud donosi rješenje o obustavi </w:t>
      </w:r>
      <w:proofErr w:type="spellStart"/>
      <w:r w:rsidR="000A69FC">
        <w:t>predstečajnog</w:t>
      </w:r>
      <w:proofErr w:type="spellEnd"/>
      <w:r w:rsidR="000A69FC">
        <w:t xml:space="preserve"> postupka koje </w:t>
      </w:r>
      <w:r w:rsidR="00B4622C">
        <w:t>se objavljuje na mrežnoj strani</w:t>
      </w:r>
      <w:r w:rsidR="000A69FC">
        <w:t xml:space="preserve">ci e-Oglasna ploča sudova. </w:t>
      </w:r>
      <w:r w:rsidR="006A224C">
        <w:t>Za slučaj povlačenja prijedloga t</w:t>
      </w:r>
      <w:r w:rsidR="000A69FC">
        <w:t xml:space="preserve">roškove postupka </w:t>
      </w:r>
      <w:r w:rsidR="00B4622C">
        <w:t xml:space="preserve">nastale podnošenjem prijedloga </w:t>
      </w:r>
      <w:r w:rsidR="000A69FC">
        <w:t>snosi predlagatelj.</w:t>
      </w:r>
    </w:p>
    <w:p w:rsidR="00E653C3" w:rsidRDefault="00E653C3" w:rsidP="00C319FF">
      <w:pPr>
        <w:pStyle w:val="Bezproreda"/>
        <w:jc w:val="both"/>
      </w:pPr>
    </w:p>
    <w:p w:rsidR="00763DB4" w:rsidRPr="00655CE4" w:rsidRDefault="000A69FC" w:rsidP="00C319FF">
      <w:pPr>
        <w:pStyle w:val="Bezproreda"/>
        <w:jc w:val="both"/>
      </w:pPr>
      <w:r>
        <w:t xml:space="preserve"> </w:t>
      </w:r>
      <w:r w:rsidR="00763DB4" w:rsidRPr="003F70C2">
        <w:tab/>
      </w:r>
      <w:r w:rsidR="00763DB4" w:rsidRPr="003F70C2">
        <w:rPr>
          <w:lang w:val="x-none"/>
        </w:rPr>
        <w:t xml:space="preserve">Ako su podnesena dva ili više prijedloga za otvaranje </w:t>
      </w:r>
      <w:proofErr w:type="spellStart"/>
      <w:r w:rsidR="00763DB4" w:rsidRPr="003F70C2">
        <w:rPr>
          <w:lang w:val="x-none"/>
        </w:rPr>
        <w:t>predstečajnog</w:t>
      </w:r>
      <w:proofErr w:type="spellEnd"/>
      <w:r w:rsidR="00763DB4" w:rsidRPr="003F70C2">
        <w:rPr>
          <w:lang w:val="x-none"/>
        </w:rPr>
        <w:t xml:space="preserve"> postupka, sud će </w:t>
      </w:r>
      <w:r w:rsidR="00C17B63">
        <w:t xml:space="preserve">donijeti rješenje o spajanju predmeta te </w:t>
      </w:r>
      <w:r w:rsidR="00763DB4" w:rsidRPr="003F70C2">
        <w:rPr>
          <w:lang w:val="x-none"/>
        </w:rPr>
        <w:t>za sve prijedloge provesti jedinstveni postupak i donijeti zajedničku odluku</w:t>
      </w:r>
      <w:r w:rsidR="00763DB4" w:rsidRPr="003F70C2">
        <w:rPr>
          <w:rStyle w:val="Referencafusnote"/>
          <w:rFonts w:cs="Arial"/>
          <w:szCs w:val="24"/>
          <w:lang w:val="x-none"/>
        </w:rPr>
        <w:footnoteReference w:id="19"/>
      </w:r>
      <w:r w:rsidR="00763DB4" w:rsidRPr="003F70C2">
        <w:rPr>
          <w:lang w:val="x-none"/>
        </w:rPr>
        <w:t>.</w:t>
      </w:r>
      <w:r w:rsidR="00655CE4">
        <w:t xml:space="preserve"> </w:t>
      </w:r>
      <w:r w:rsidR="006A224C">
        <w:t xml:space="preserve">U sudskoj praksi nije zabilježen niti jedan slučaj da su podnijeta dva prijedloga za otvaranje </w:t>
      </w:r>
      <w:proofErr w:type="spellStart"/>
      <w:r w:rsidR="006A224C">
        <w:t>predstečajnog</w:t>
      </w:r>
      <w:proofErr w:type="spellEnd"/>
      <w:r w:rsidR="006A224C">
        <w:t xml:space="preserve"> postupka.</w:t>
      </w:r>
    </w:p>
    <w:p w:rsidR="00480F59" w:rsidRPr="003F70C2" w:rsidRDefault="00480F59" w:rsidP="00763DB4">
      <w:pPr>
        <w:autoSpaceDE w:val="0"/>
        <w:autoSpaceDN w:val="0"/>
        <w:adjustRightInd w:val="0"/>
        <w:spacing w:before="120" w:after="120" w:line="240" w:lineRule="auto"/>
        <w:jc w:val="both"/>
        <w:rPr>
          <w:rFonts w:ascii="Arial" w:hAnsi="Arial" w:cs="Arial"/>
          <w:sz w:val="24"/>
          <w:szCs w:val="24"/>
        </w:rPr>
      </w:pPr>
    </w:p>
    <w:p w:rsidR="00DE265F" w:rsidRDefault="00951AD8" w:rsidP="00951AD8">
      <w:pPr>
        <w:pStyle w:val="Naslov2"/>
      </w:pPr>
      <w:bookmarkStart w:id="3" w:name="_Toc507067601"/>
      <w:r>
        <w:t>1</w:t>
      </w:r>
      <w:r w:rsidR="00084C72">
        <w:t>.2.</w:t>
      </w:r>
      <w:r w:rsidR="00DE265F" w:rsidRPr="003F70C2">
        <w:t xml:space="preserve"> Načelo strogog formalizma</w:t>
      </w:r>
      <w:bookmarkEnd w:id="3"/>
      <w:r w:rsidR="00DE265F" w:rsidRPr="003F70C2">
        <w:t xml:space="preserve"> </w:t>
      </w:r>
    </w:p>
    <w:p w:rsidR="00951AD8" w:rsidRPr="00951AD8" w:rsidRDefault="00951AD8" w:rsidP="00951AD8"/>
    <w:p w:rsidR="00DE265F" w:rsidRDefault="00DE265F" w:rsidP="00C319FF">
      <w:pPr>
        <w:pStyle w:val="Bezproreda"/>
        <w:ind w:firstLine="705"/>
        <w:jc w:val="both"/>
      </w:pPr>
      <w:r w:rsidRPr="003F70C2">
        <w:t xml:space="preserve">Prijedlog za otvaranje </w:t>
      </w:r>
      <w:proofErr w:type="spellStart"/>
      <w:r w:rsidRPr="003F70C2">
        <w:t>predstečajnog</w:t>
      </w:r>
      <w:proofErr w:type="spellEnd"/>
      <w:r w:rsidRPr="003F70C2">
        <w:t xml:space="preserve"> postupka kao i drugi podnesci u postupku podnose se na propisanom obrascu</w:t>
      </w:r>
      <w:r w:rsidRPr="003F70C2">
        <w:rPr>
          <w:rStyle w:val="Referencafusnote"/>
          <w:rFonts w:cs="Arial"/>
          <w:szCs w:val="24"/>
        </w:rPr>
        <w:footnoteReference w:id="20"/>
      </w:r>
      <w:r w:rsidRPr="003F70C2">
        <w:t xml:space="preserve"> čiji je sadržaj i oblik propisan Pravilnikom ministra nadležnog za poslove pravosuđa</w:t>
      </w:r>
      <w:r w:rsidRPr="003F70C2">
        <w:rPr>
          <w:rStyle w:val="Referencafusnote"/>
          <w:rFonts w:cs="Arial"/>
          <w:szCs w:val="24"/>
        </w:rPr>
        <w:footnoteReference w:id="21"/>
      </w:r>
      <w:r w:rsidR="00DE56EE" w:rsidRPr="003F70C2">
        <w:t xml:space="preserve"> te su isti dostupni na mrežnoj stranici e-Oglasna ploča sudova</w:t>
      </w:r>
      <w:r w:rsidRPr="003F70C2">
        <w:t>. Ako podnesak nije podnesen na propisanom obrascu, sud će ga rješenjem odbaciti kao nedopušten</w:t>
      </w:r>
      <w:r w:rsidRPr="003F70C2">
        <w:rPr>
          <w:rStyle w:val="Referencafusnote"/>
          <w:rFonts w:cs="Arial"/>
          <w:szCs w:val="24"/>
        </w:rPr>
        <w:footnoteReference w:id="22"/>
      </w:r>
      <w:r w:rsidRPr="003F70C2">
        <w:t>. Uv</w:t>
      </w:r>
      <w:r w:rsidR="00895478">
        <w:t>ođenjem propisanih obrazaca željelo</w:t>
      </w:r>
      <w:r w:rsidRPr="003F70C2">
        <w:t xml:space="preserve"> se povećati opć</w:t>
      </w:r>
      <w:r w:rsidR="00895478">
        <w:t>u</w:t>
      </w:r>
      <w:r w:rsidRPr="003F70C2">
        <w:t xml:space="preserve"> discipliniranost svih sudionika u </w:t>
      </w:r>
      <w:proofErr w:type="spellStart"/>
      <w:r w:rsidRPr="003F70C2">
        <w:t>predstečajnom</w:t>
      </w:r>
      <w:proofErr w:type="spellEnd"/>
      <w:r w:rsidR="00DE56EE" w:rsidRPr="003F70C2">
        <w:t xml:space="preserve"> i stečajnom</w:t>
      </w:r>
      <w:r w:rsidRPr="003F70C2">
        <w:t xml:space="preserve"> postupku.</w:t>
      </w:r>
    </w:p>
    <w:p w:rsidR="00C319FF" w:rsidRPr="003F70C2" w:rsidRDefault="00C319FF" w:rsidP="00C319FF">
      <w:pPr>
        <w:pStyle w:val="Bezproreda"/>
        <w:ind w:firstLine="705"/>
        <w:jc w:val="both"/>
      </w:pPr>
    </w:p>
    <w:p w:rsidR="00DE265F" w:rsidRDefault="00DE265F" w:rsidP="00C319FF">
      <w:pPr>
        <w:pStyle w:val="Bezproreda"/>
        <w:ind w:firstLine="705"/>
        <w:jc w:val="both"/>
      </w:pPr>
      <w:r w:rsidRPr="003F70C2">
        <w:t xml:space="preserve">Pitanje je do koje mjere je takvo rješenje primjereno ciljevima koji se njime </w:t>
      </w:r>
      <w:r w:rsidR="00CD6793">
        <w:t>žele</w:t>
      </w:r>
      <w:r w:rsidRPr="003F70C2">
        <w:t xml:space="preserve"> postići i je li smisao Stečajnog zakona da se podnesci odbacuju samo zato što nisu podneseni na propisanom obrascu. Sudska praksa je odstupila od strogog formalizma</w:t>
      </w:r>
      <w:r w:rsidRPr="003F70C2">
        <w:rPr>
          <w:rStyle w:val="Referencafusnote"/>
          <w:rFonts w:cs="Arial"/>
        </w:rPr>
        <w:footnoteReference w:id="23"/>
      </w:r>
      <w:r w:rsidRPr="003F70C2">
        <w:t xml:space="preserve"> uz obrazloženje da smisao Zakona nije u tome da se odbacuju podnesci koji nisu podneseni na propisanom obrascu</w:t>
      </w:r>
      <w:r w:rsidR="00160619" w:rsidRPr="003F70C2">
        <w:t xml:space="preserve"> te je dana </w:t>
      </w:r>
      <w:r w:rsidRPr="003F70C2">
        <w:t>prednost sadržaju podneska</w:t>
      </w:r>
      <w:r w:rsidR="007E7CEC" w:rsidRPr="003F70C2">
        <w:t>,</w:t>
      </w:r>
      <w:r w:rsidRPr="003F70C2">
        <w:t xml:space="preserve"> a ne propisanom obrascu. Slijedom toga, sud ne </w:t>
      </w:r>
      <w:r w:rsidR="00CD6793">
        <w:t>može</w:t>
      </w:r>
      <w:r w:rsidRPr="003F70C2">
        <w:t xml:space="preserve"> odbaciti podnesak samo zbog toga što nije podnesen na propisanom obrascu ako sadržaj podneska u potpunosti odgovara sadržaju koji je propisan obrascem. Međutim, što učiniti </w:t>
      </w:r>
      <w:r w:rsidR="00160619" w:rsidRPr="003F70C2">
        <w:t xml:space="preserve">u slučaju </w:t>
      </w:r>
      <w:r w:rsidR="00516FF9">
        <w:t>ako</w:t>
      </w:r>
      <w:r w:rsidRPr="003F70C2">
        <w:t xml:space="preserve"> prijedlog za otvaranje </w:t>
      </w:r>
      <w:proofErr w:type="spellStart"/>
      <w:r w:rsidRPr="003F70C2">
        <w:t>predstečajnog</w:t>
      </w:r>
      <w:proofErr w:type="spellEnd"/>
      <w:r w:rsidRPr="003F70C2">
        <w:t xml:space="preserve"> postupka nije podnesen na propisanom obrascu i ne sadrži sve što treba sadržavati. Prema shvaćanju sudske prakse takav prijedlog treba odbaciti</w:t>
      </w:r>
      <w:r w:rsidR="00B85B34">
        <w:rPr>
          <w:rStyle w:val="Referencafusnote"/>
          <w:rFonts w:cs="Arial"/>
        </w:rPr>
        <w:footnoteReference w:id="24"/>
      </w:r>
      <w:r w:rsidRPr="003F70C2">
        <w:t>. S druge strane, zakon propisuje da će sud naložiti podnositelju prijedloga koji nije potpun da prijedlog dopuni u roku od osam dana i ako podnositelj ne dopuni prijedlog u skladu s uputom suda u određenom roku, sud će prijedlog odbaciti</w:t>
      </w:r>
      <w:r w:rsidRPr="003F70C2">
        <w:rPr>
          <w:rStyle w:val="Referencafusnote"/>
          <w:rFonts w:cs="Arial"/>
        </w:rPr>
        <w:footnoteReference w:id="25"/>
      </w:r>
      <w:r w:rsidRPr="003F70C2">
        <w:t xml:space="preserve">. </w:t>
      </w:r>
      <w:r w:rsidR="00EE0947">
        <w:t>U navedeni</w:t>
      </w:r>
      <w:r w:rsidR="003D3A88" w:rsidRPr="003F70C2">
        <w:t>m primjer</w:t>
      </w:r>
      <w:r w:rsidR="00EE0947">
        <w:t>ima</w:t>
      </w:r>
      <w:r w:rsidR="003D3A88" w:rsidRPr="003F70C2">
        <w:t xml:space="preserve"> postupanje suda je </w:t>
      </w:r>
      <w:r w:rsidRPr="003F70C2">
        <w:t xml:space="preserve">različito </w:t>
      </w:r>
      <w:r w:rsidR="003D3A88" w:rsidRPr="003F70C2">
        <w:t>s</w:t>
      </w:r>
      <w:r w:rsidRPr="003F70C2">
        <w:t xml:space="preserve"> nepotpunim </w:t>
      </w:r>
      <w:r w:rsidR="00EE0947">
        <w:t>prijedlozima</w:t>
      </w:r>
      <w:r w:rsidR="00516FF9">
        <w:t>,</w:t>
      </w:r>
      <w:r w:rsidR="003D3A88" w:rsidRPr="003F70C2">
        <w:t xml:space="preserve"> </w:t>
      </w:r>
      <w:r w:rsidRPr="003F70C2">
        <w:t xml:space="preserve">ovisno </w:t>
      </w:r>
      <w:r w:rsidR="003D3A88" w:rsidRPr="003F70C2">
        <w:t>o tome je</w:t>
      </w:r>
      <w:r w:rsidRPr="003F70C2">
        <w:t xml:space="preserve"> li podnesen na propisanom obrascu ili ne.</w:t>
      </w:r>
      <w:r w:rsidR="003D3A88" w:rsidRPr="003F70C2">
        <w:t xml:space="preserve"> </w:t>
      </w:r>
      <w:r w:rsidR="00516FF9">
        <w:t>Ako prijedlog nije podnesen na propisanom obrascu i ne sadrži sve što je zakonom propisano sud će takav prijedlog odbaciti.</w:t>
      </w:r>
    </w:p>
    <w:p w:rsidR="00F12AE5" w:rsidRPr="003F70C2" w:rsidRDefault="00F12AE5" w:rsidP="0047305C">
      <w:pPr>
        <w:pStyle w:val="tb-na16"/>
        <w:spacing w:before="0" w:beforeAutospacing="0"/>
        <w:ind w:firstLine="705"/>
        <w:jc w:val="both"/>
        <w:rPr>
          <w:rFonts w:ascii="Arial" w:hAnsi="Arial" w:cs="Arial"/>
        </w:rPr>
      </w:pPr>
    </w:p>
    <w:p w:rsidR="00DE265F" w:rsidRDefault="00951AD8" w:rsidP="00951AD8">
      <w:pPr>
        <w:pStyle w:val="Naslov2"/>
      </w:pPr>
      <w:bookmarkStart w:id="4" w:name="_Toc507067602"/>
      <w:r>
        <w:t>1</w:t>
      </w:r>
      <w:r w:rsidR="00084C72">
        <w:t>.</w:t>
      </w:r>
      <w:r w:rsidR="00DE265F" w:rsidRPr="003F70C2">
        <w:t>3. Načelo hitnosti</w:t>
      </w:r>
      <w:bookmarkEnd w:id="4"/>
      <w:r w:rsidR="00DE265F" w:rsidRPr="003F70C2">
        <w:t xml:space="preserve"> </w:t>
      </w:r>
    </w:p>
    <w:p w:rsidR="00951AD8" w:rsidRPr="00951AD8" w:rsidRDefault="00951AD8" w:rsidP="00951AD8"/>
    <w:p w:rsidR="000314CF" w:rsidRDefault="000314CF" w:rsidP="00C319FF">
      <w:pPr>
        <w:pStyle w:val="Bezproreda"/>
        <w:ind w:firstLine="705"/>
        <w:jc w:val="both"/>
      </w:pPr>
      <w:proofErr w:type="spellStart"/>
      <w:r w:rsidRPr="003F70C2">
        <w:t>Predstečajni</w:t>
      </w:r>
      <w:proofErr w:type="spellEnd"/>
      <w:r w:rsidRPr="003F70C2">
        <w:t xml:space="preserve"> </w:t>
      </w:r>
      <w:r w:rsidR="00F0749B">
        <w:t xml:space="preserve">je </w:t>
      </w:r>
      <w:r w:rsidRPr="003F70C2">
        <w:t>postup</w:t>
      </w:r>
      <w:r w:rsidR="007E7CEC" w:rsidRPr="003F70C2">
        <w:t xml:space="preserve">ak </w:t>
      </w:r>
      <w:r w:rsidRPr="003F70C2">
        <w:t>hit</w:t>
      </w:r>
      <w:r w:rsidR="007E7CEC" w:rsidRPr="003F70C2">
        <w:t>a</w:t>
      </w:r>
      <w:r w:rsidRPr="003F70C2">
        <w:t>n</w:t>
      </w:r>
      <w:r w:rsidR="006940E4" w:rsidRPr="003F70C2">
        <w:rPr>
          <w:rStyle w:val="Referencafusnote"/>
          <w:rFonts w:cs="Arial"/>
          <w:szCs w:val="24"/>
        </w:rPr>
        <w:footnoteReference w:id="26"/>
      </w:r>
      <w:r w:rsidRPr="003F70C2">
        <w:t>.</w:t>
      </w:r>
    </w:p>
    <w:p w:rsidR="00C319FF" w:rsidRPr="003F70C2" w:rsidRDefault="00C319FF" w:rsidP="00C319FF">
      <w:pPr>
        <w:pStyle w:val="Bezproreda"/>
        <w:ind w:firstLine="705"/>
        <w:jc w:val="both"/>
      </w:pPr>
    </w:p>
    <w:p w:rsidR="00DE265F" w:rsidRDefault="00DE265F" w:rsidP="00C319FF">
      <w:pPr>
        <w:pStyle w:val="Bezproreda"/>
        <w:ind w:firstLine="705"/>
        <w:jc w:val="both"/>
      </w:pPr>
      <w:r w:rsidRPr="003F70C2">
        <w:t>Sud je dužan o prijed</w:t>
      </w:r>
      <w:r w:rsidR="007E7CEC" w:rsidRPr="003F70C2">
        <w:t xml:space="preserve">logu za otvaranje </w:t>
      </w:r>
      <w:proofErr w:type="spellStart"/>
      <w:r w:rsidR="007E7CEC" w:rsidRPr="003F70C2">
        <w:t>predstečajnog</w:t>
      </w:r>
      <w:proofErr w:type="spellEnd"/>
      <w:r w:rsidRPr="003F70C2">
        <w:t xml:space="preserve"> postupka odlučiti u roku od osam dana od dana podnošenja potpunoga prijedloga. Ako prije</w:t>
      </w:r>
      <w:r w:rsidR="007E7CEC" w:rsidRPr="003F70C2">
        <w:t xml:space="preserve">dlog za otvaranje </w:t>
      </w:r>
      <w:proofErr w:type="spellStart"/>
      <w:r w:rsidR="007E7CEC" w:rsidRPr="003F70C2">
        <w:t>predstečajnog</w:t>
      </w:r>
      <w:proofErr w:type="spellEnd"/>
      <w:r w:rsidRPr="003F70C2">
        <w:t xml:space="preserve"> postupka nije potpun, sud će u roku od osam dana od primitka prijedloga naložiti podnositelju da prijedlog </w:t>
      </w:r>
      <w:r w:rsidR="007E7CEC" w:rsidRPr="003F70C2">
        <w:t xml:space="preserve">dopuni </w:t>
      </w:r>
      <w:r w:rsidRPr="003F70C2">
        <w:t>u roku od osam dana u skladu s uputom</w:t>
      </w:r>
      <w:r w:rsidR="00B550B4">
        <w:t xml:space="preserve"> koja mora biti jasna i potpuna</w:t>
      </w:r>
      <w:r w:rsidRPr="003F70C2">
        <w:t>. Rok za dopunu prijedloga ne može se produ</w:t>
      </w:r>
      <w:r w:rsidR="00F0749B">
        <w:t>žiti</w:t>
      </w:r>
      <w:r w:rsidRPr="003F70C2">
        <w:t xml:space="preserve">. Ako podnositelj prijedloga ne dopuni prijedlog za otvaranje </w:t>
      </w:r>
      <w:proofErr w:type="spellStart"/>
      <w:r w:rsidRPr="003F70C2">
        <w:t>predstečajnog</w:t>
      </w:r>
      <w:proofErr w:type="spellEnd"/>
      <w:r w:rsidRPr="003F70C2">
        <w:t xml:space="preserve"> postupka u skladu s uputom suda u određenom roku, sud će u roku od osam dana nakon isteka roka za dopunu odbaciti prijedlog za otvaranje </w:t>
      </w:r>
      <w:proofErr w:type="spellStart"/>
      <w:r w:rsidRPr="003F70C2">
        <w:t>predstečajnog</w:t>
      </w:r>
      <w:proofErr w:type="spellEnd"/>
      <w:r w:rsidRPr="003F70C2">
        <w:t xml:space="preserve"> postupka</w:t>
      </w:r>
      <w:r w:rsidRPr="003F70C2">
        <w:rPr>
          <w:rStyle w:val="Referencafusnote"/>
          <w:rFonts w:cs="Arial"/>
          <w:szCs w:val="24"/>
        </w:rPr>
        <w:footnoteReference w:id="27"/>
      </w:r>
      <w:r w:rsidRPr="003F70C2">
        <w:t xml:space="preserve">. </w:t>
      </w:r>
    </w:p>
    <w:p w:rsidR="00C319FF" w:rsidRPr="003F70C2" w:rsidRDefault="00C319FF" w:rsidP="00C319FF">
      <w:pPr>
        <w:pStyle w:val="Bezproreda"/>
        <w:ind w:firstLine="705"/>
        <w:jc w:val="both"/>
      </w:pPr>
      <w:r>
        <w:tab/>
      </w:r>
    </w:p>
    <w:p w:rsidR="00C319FF" w:rsidRDefault="00B550B4" w:rsidP="00C319FF">
      <w:pPr>
        <w:pStyle w:val="Bezproreda"/>
        <w:ind w:firstLine="705"/>
        <w:jc w:val="both"/>
      </w:pPr>
      <w:r>
        <w:t xml:space="preserve">Zakonodavac je odredio rok u kojemu se </w:t>
      </w:r>
      <w:proofErr w:type="spellStart"/>
      <w:r w:rsidR="006727A5">
        <w:t>predstečajni</w:t>
      </w:r>
      <w:proofErr w:type="spellEnd"/>
      <w:r w:rsidR="006727A5">
        <w:t xml:space="preserve"> </w:t>
      </w:r>
      <w:r>
        <w:t xml:space="preserve">postupak mora završiti, jer ciljevi zbog kojih se vodi </w:t>
      </w:r>
      <w:proofErr w:type="spellStart"/>
      <w:r>
        <w:t>predstečajni</w:t>
      </w:r>
      <w:proofErr w:type="spellEnd"/>
      <w:r>
        <w:t xml:space="preserve"> postupak to zahtijevaju. </w:t>
      </w:r>
      <w:proofErr w:type="spellStart"/>
      <w:r w:rsidR="00DE265F" w:rsidRPr="003F70C2">
        <w:t>Predstečajni</w:t>
      </w:r>
      <w:proofErr w:type="spellEnd"/>
      <w:r w:rsidR="00DE265F" w:rsidRPr="003F70C2">
        <w:t xml:space="preserve"> postup</w:t>
      </w:r>
      <w:r>
        <w:t>ci pokrenuti do 1. studenoga 2017. moraju se završiti u roku od 120 dana</w:t>
      </w:r>
      <w:r w:rsidR="008D7CCE">
        <w:t xml:space="preserve"> od dana podnošenja </w:t>
      </w:r>
      <w:r w:rsidR="005D3EFB">
        <w:t>p</w:t>
      </w:r>
      <w:r w:rsidR="008D7CCE">
        <w:t>r</w:t>
      </w:r>
      <w:r w:rsidR="005D3EFB">
        <w:t>ijedloga</w:t>
      </w:r>
      <w:r>
        <w:t>.</w:t>
      </w:r>
      <w:r w:rsidRPr="00B550B4">
        <w:t xml:space="preserve"> </w:t>
      </w:r>
      <w:r w:rsidRPr="003F70C2">
        <w:t>Iznimno, sud može na dužn</w:t>
      </w:r>
      <w:r w:rsidR="006727A5">
        <w:t>ikov prijedlog, dopustiti produž</w:t>
      </w:r>
      <w:r w:rsidRPr="003F70C2">
        <w:t xml:space="preserve">enje roka za daljnjih </w:t>
      </w:r>
      <w:r>
        <w:t>9</w:t>
      </w:r>
      <w:r w:rsidRPr="003F70C2">
        <w:t xml:space="preserve">0 dana ako smatra da bi to </w:t>
      </w:r>
      <w:r w:rsidRPr="003F70C2">
        <w:lastRenderedPageBreak/>
        <w:t xml:space="preserve">bilo svrsishodno za sklapanje </w:t>
      </w:r>
      <w:proofErr w:type="spellStart"/>
      <w:r w:rsidRPr="003F70C2">
        <w:t>predstečajnog</w:t>
      </w:r>
      <w:proofErr w:type="spellEnd"/>
      <w:r>
        <w:t xml:space="preserve"> sporazuma. </w:t>
      </w:r>
      <w:r w:rsidR="00F0749B">
        <w:t>Prijedlog za produljenje roka mora se podnijeti prije proteka roka čije se produljenje traži</w:t>
      </w:r>
      <w:r w:rsidR="00F0749B">
        <w:rPr>
          <w:rStyle w:val="Referencafusnote"/>
          <w:rFonts w:cs="Arial"/>
          <w:szCs w:val="24"/>
        </w:rPr>
        <w:footnoteReference w:id="28"/>
      </w:r>
      <w:r w:rsidR="00F0749B">
        <w:t xml:space="preserve">. </w:t>
      </w:r>
      <w:r>
        <w:t xml:space="preserve">U praksi se pokazalo da </w:t>
      </w:r>
      <w:r w:rsidR="006727A5">
        <w:t xml:space="preserve">je </w:t>
      </w:r>
      <w:r>
        <w:t>ro</w:t>
      </w:r>
      <w:r w:rsidR="008D7CCE">
        <w:t xml:space="preserve">k od 210 dana </w:t>
      </w:r>
      <w:r w:rsidR="006727A5">
        <w:t xml:space="preserve">kratak za </w:t>
      </w:r>
      <w:r w:rsidR="008D7CCE">
        <w:t xml:space="preserve">uspješan </w:t>
      </w:r>
      <w:r w:rsidR="006727A5">
        <w:t xml:space="preserve">završetak </w:t>
      </w:r>
      <w:proofErr w:type="spellStart"/>
      <w:r w:rsidR="006727A5">
        <w:t>predstečajnog</w:t>
      </w:r>
      <w:proofErr w:type="spellEnd"/>
      <w:r w:rsidR="006727A5">
        <w:t xml:space="preserve"> postupka pa su </w:t>
      </w:r>
      <w:proofErr w:type="spellStart"/>
      <w:r w:rsidR="008D7CCE">
        <w:t>predstečajni</w:t>
      </w:r>
      <w:proofErr w:type="spellEnd"/>
      <w:r w:rsidR="008D7CCE">
        <w:t xml:space="preserve"> postupci trajali </w:t>
      </w:r>
      <w:r w:rsidR="006727A5">
        <w:t xml:space="preserve">i duže od 210 dana što je protivno zakonu. S druge strane, ako je uloženo određeno vrijeme i trud da se sklopi </w:t>
      </w:r>
      <w:proofErr w:type="spellStart"/>
      <w:r w:rsidR="006727A5">
        <w:t>predstečajni</w:t>
      </w:r>
      <w:proofErr w:type="spellEnd"/>
      <w:r w:rsidR="006727A5">
        <w:t xml:space="preserve"> sporazum sudovi su svjesno postupali protivno zakonu i nastavljali postupak ako je bilo izgledno sklapanje </w:t>
      </w:r>
      <w:proofErr w:type="spellStart"/>
      <w:r w:rsidR="006727A5">
        <w:t>predstečajnog</w:t>
      </w:r>
      <w:proofErr w:type="spellEnd"/>
      <w:r w:rsidR="006727A5">
        <w:t xml:space="preserve"> sporazuma. </w:t>
      </w:r>
      <w:r>
        <w:t xml:space="preserve">ZIDSZ </w:t>
      </w:r>
      <w:r w:rsidR="006727A5">
        <w:t xml:space="preserve">je produljio </w:t>
      </w:r>
      <w:r>
        <w:t>rok</w:t>
      </w:r>
      <w:r w:rsidR="006727A5">
        <w:t xml:space="preserve"> </w:t>
      </w:r>
      <w:r w:rsidR="008D7CCE">
        <w:t xml:space="preserve">u kojemu se </w:t>
      </w:r>
      <w:proofErr w:type="spellStart"/>
      <w:r w:rsidR="008D7CCE">
        <w:t>predstečajni</w:t>
      </w:r>
      <w:proofErr w:type="spellEnd"/>
      <w:r w:rsidR="008D7CCE">
        <w:t xml:space="preserve"> postupak mora završiti i sada je rok </w:t>
      </w:r>
      <w:r>
        <w:t>300 dana</w:t>
      </w:r>
      <w:r w:rsidR="008D7CCE">
        <w:t>, a računa</w:t>
      </w:r>
      <w:r>
        <w:t xml:space="preserve"> </w:t>
      </w:r>
      <w:r w:rsidR="008D7CCE">
        <w:t xml:space="preserve">se </w:t>
      </w:r>
      <w:r w:rsidR="00DE265F" w:rsidRPr="003F70C2">
        <w:t xml:space="preserve">od </w:t>
      </w:r>
      <w:r w:rsidR="008D7CCE">
        <w:t>dana otvaranj</w:t>
      </w:r>
      <w:r w:rsidR="00A778A1">
        <w:t>a</w:t>
      </w:r>
      <w:r w:rsidR="008D7CCE">
        <w:t xml:space="preserve"> </w:t>
      </w:r>
      <w:proofErr w:type="spellStart"/>
      <w:r w:rsidR="008D7CCE">
        <w:t>predstečajnog</w:t>
      </w:r>
      <w:proofErr w:type="spellEnd"/>
      <w:r w:rsidR="008D7CCE">
        <w:t xml:space="preserve"> postupka, a ne od </w:t>
      </w:r>
      <w:r w:rsidR="00DE265F" w:rsidRPr="003F70C2">
        <w:t>dana podnošenja prijedloga</w:t>
      </w:r>
      <w:r w:rsidR="008D7CCE">
        <w:t xml:space="preserve"> kao je bilo ranije propisano</w:t>
      </w:r>
      <w:r w:rsidR="006727A5">
        <w:t xml:space="preserve">. </w:t>
      </w:r>
      <w:r w:rsidR="00DE265F" w:rsidRPr="003F70C2">
        <w:t>Iznimno, sud može na dužn</w:t>
      </w:r>
      <w:r w:rsidR="00A778A1">
        <w:t>ikov prijedlog, dopustiti produž</w:t>
      </w:r>
      <w:r w:rsidR="00DE265F" w:rsidRPr="003F70C2">
        <w:t xml:space="preserve">enje roka za daljnjih </w:t>
      </w:r>
      <w:r w:rsidR="007E7CEC" w:rsidRPr="003F70C2">
        <w:t>6</w:t>
      </w:r>
      <w:r w:rsidR="00DE265F" w:rsidRPr="003F70C2">
        <w:t>0 dana ako smatra da bi to bilo svrsish</w:t>
      </w:r>
      <w:r w:rsidR="005D3EFB">
        <w:t xml:space="preserve">odno za sklapanje </w:t>
      </w:r>
      <w:proofErr w:type="spellStart"/>
      <w:r w:rsidR="005D3EFB">
        <w:t>predstečajnog</w:t>
      </w:r>
      <w:proofErr w:type="spellEnd"/>
      <w:r w:rsidR="00DE265F" w:rsidRPr="003F70C2">
        <w:t xml:space="preserve"> sporazuma</w:t>
      </w:r>
      <w:r w:rsidR="00DE265F" w:rsidRPr="003F70C2">
        <w:rPr>
          <w:rStyle w:val="Referencafusnote"/>
          <w:rFonts w:cs="Arial"/>
          <w:szCs w:val="24"/>
        </w:rPr>
        <w:footnoteReference w:id="29"/>
      </w:r>
      <w:r w:rsidR="00DE265F" w:rsidRPr="003F70C2">
        <w:t xml:space="preserve">. </w:t>
      </w:r>
      <w:proofErr w:type="spellStart"/>
      <w:r w:rsidR="006727A5">
        <w:t>Produljnjem</w:t>
      </w:r>
      <w:proofErr w:type="spellEnd"/>
      <w:r w:rsidR="006727A5">
        <w:t xml:space="preserve"> roka zakonodavac želi potaknuti dužnika i vjerovnike na pokretanje </w:t>
      </w:r>
      <w:proofErr w:type="spellStart"/>
      <w:r w:rsidR="006727A5">
        <w:t>predstečajnih</w:t>
      </w:r>
      <w:proofErr w:type="spellEnd"/>
      <w:r w:rsidR="006727A5">
        <w:t xml:space="preserve"> postupaka.</w:t>
      </w:r>
    </w:p>
    <w:p w:rsidR="006727A5" w:rsidRDefault="006727A5" w:rsidP="00C319FF">
      <w:pPr>
        <w:pStyle w:val="Bezproreda"/>
        <w:ind w:firstLine="705"/>
        <w:jc w:val="both"/>
      </w:pPr>
      <w:r>
        <w:t xml:space="preserve">    </w:t>
      </w:r>
    </w:p>
    <w:p w:rsidR="00DE265F" w:rsidRDefault="00DE265F" w:rsidP="00C319FF">
      <w:pPr>
        <w:pStyle w:val="Bezproreda"/>
        <w:ind w:firstLine="705"/>
        <w:jc w:val="both"/>
      </w:pPr>
      <w:r w:rsidRPr="003F70C2">
        <w:t xml:space="preserve">Sud će obustaviti </w:t>
      </w:r>
      <w:proofErr w:type="spellStart"/>
      <w:r w:rsidRPr="003F70C2">
        <w:t>predstečajni</w:t>
      </w:r>
      <w:proofErr w:type="spellEnd"/>
      <w:r w:rsidRPr="003F70C2">
        <w:t xml:space="preserve"> postupak ako ne potvrdi </w:t>
      </w:r>
      <w:proofErr w:type="spellStart"/>
      <w:r w:rsidRPr="003F70C2">
        <w:t>predstečajni</w:t>
      </w:r>
      <w:proofErr w:type="spellEnd"/>
      <w:r w:rsidRPr="003F70C2">
        <w:t xml:space="preserve"> sporazum u navedenim rokovima</w:t>
      </w:r>
      <w:r w:rsidR="00C91E88">
        <w:t>, ali neće nastaviti postupak kao da je podnesen prijedlog za otvaranje stečajnog postupka</w:t>
      </w:r>
      <w:r w:rsidR="00C278B9">
        <w:t xml:space="preserve">. Nastavak postupka nakon obustave </w:t>
      </w:r>
      <w:proofErr w:type="spellStart"/>
      <w:r w:rsidR="00C278B9">
        <w:t>predstečajnog</w:t>
      </w:r>
      <w:proofErr w:type="spellEnd"/>
      <w:r w:rsidR="00C278B9">
        <w:t xml:space="preserve"> postupka</w:t>
      </w:r>
      <w:r w:rsidR="00C278B9" w:rsidRPr="00C278B9">
        <w:t xml:space="preserve"> </w:t>
      </w:r>
      <w:r w:rsidR="00C278B9">
        <w:t>kao da je podnesen prijedlog za otvaranje stečajnog postupka moguće je samo u slučajevima koje propisuje odredba članka 64. stavak 1. SZ-a u vezi sa stavkom 2. istog</w:t>
      </w:r>
      <w:r w:rsidR="003921C3">
        <w:t>a</w:t>
      </w:r>
      <w:r w:rsidR="00C278B9">
        <w:t xml:space="preserve"> članka. </w:t>
      </w:r>
    </w:p>
    <w:p w:rsidR="00C319FF" w:rsidRPr="003F70C2" w:rsidRDefault="00C319FF" w:rsidP="00C319FF">
      <w:pPr>
        <w:pStyle w:val="Bezproreda"/>
        <w:ind w:firstLine="705"/>
        <w:jc w:val="both"/>
      </w:pPr>
    </w:p>
    <w:p w:rsidR="00D83209" w:rsidRDefault="007F4591" w:rsidP="00C319FF">
      <w:pPr>
        <w:pStyle w:val="Bezproreda"/>
        <w:ind w:firstLine="705"/>
        <w:jc w:val="both"/>
      </w:pPr>
      <w:r w:rsidRPr="003F70C2">
        <w:rPr>
          <w:lang w:val="x-none"/>
        </w:rPr>
        <w:t xml:space="preserve">Prvostupanjski sud </w:t>
      </w:r>
      <w:r w:rsidR="00F0749B">
        <w:t xml:space="preserve">je </w:t>
      </w:r>
      <w:r w:rsidRPr="003F70C2">
        <w:rPr>
          <w:lang w:val="x-none"/>
        </w:rPr>
        <w:t>dužan žalbu podobnu za odlučivanje dostaviti drugostupanjskom sudu u roku od osam dana od njezina primitka</w:t>
      </w:r>
      <w:r w:rsidR="00D83209" w:rsidRPr="003F70C2">
        <w:t xml:space="preserve"> te je drugostupanjski sud dužan</w:t>
      </w:r>
      <w:r w:rsidR="004F7D1B" w:rsidRPr="003F70C2">
        <w:t xml:space="preserve"> o žalbi odlučiti najkasnije u roku od 60 dana od primitka žalbe, ako Zakonom nije drukčije određeno</w:t>
      </w:r>
      <w:r w:rsidR="003E4733" w:rsidRPr="003F70C2">
        <w:rPr>
          <w:rStyle w:val="Referencafusnote"/>
          <w:rFonts w:cs="Arial"/>
          <w:szCs w:val="24"/>
        </w:rPr>
        <w:footnoteReference w:id="30"/>
      </w:r>
      <w:r w:rsidR="004F7D1B" w:rsidRPr="003F70C2">
        <w:t>.</w:t>
      </w:r>
      <w:r w:rsidR="00D83209" w:rsidRPr="003F70C2">
        <w:rPr>
          <w:lang w:val="x-none"/>
        </w:rPr>
        <w:t xml:space="preserve"> </w:t>
      </w:r>
      <w:r w:rsidR="003E4733" w:rsidRPr="003F70C2">
        <w:t>Z</w:t>
      </w:r>
      <w:r w:rsidR="00D83209" w:rsidRPr="003F70C2">
        <w:t xml:space="preserve">akon je drukčije odredio u slučaju </w:t>
      </w:r>
      <w:r w:rsidR="00D83209" w:rsidRPr="003F70C2">
        <w:rPr>
          <w:lang w:val="x-none"/>
        </w:rPr>
        <w:t>žalb</w:t>
      </w:r>
      <w:r w:rsidR="00D83209" w:rsidRPr="003F70C2">
        <w:t>e</w:t>
      </w:r>
      <w:r w:rsidR="00D83209" w:rsidRPr="003F70C2">
        <w:rPr>
          <w:lang w:val="x-none"/>
        </w:rPr>
        <w:t xml:space="preserve"> protiv rješenja o utvrđenim i osporenim tražbinama </w:t>
      </w:r>
      <w:r w:rsidR="003E4733" w:rsidRPr="003F70C2">
        <w:t xml:space="preserve">u </w:t>
      </w:r>
      <w:proofErr w:type="spellStart"/>
      <w:r w:rsidR="003E4733" w:rsidRPr="003F70C2">
        <w:t>predstečajnom</w:t>
      </w:r>
      <w:proofErr w:type="spellEnd"/>
      <w:r w:rsidR="003E4733" w:rsidRPr="003F70C2">
        <w:t xml:space="preserve"> postupku </w:t>
      </w:r>
      <w:r w:rsidR="00D83209" w:rsidRPr="003F70C2">
        <w:t xml:space="preserve">koju je prvostupanjski sud dužan </w:t>
      </w:r>
      <w:r w:rsidR="00D83209" w:rsidRPr="003F70C2">
        <w:rPr>
          <w:lang w:val="x-none"/>
        </w:rPr>
        <w:t>dostaviti drugostupanjskom sudu u roku od tri dana od njezina primitka</w:t>
      </w:r>
      <w:r w:rsidR="00D83209" w:rsidRPr="003F70C2">
        <w:t>, a</w:t>
      </w:r>
      <w:r w:rsidR="00D83209" w:rsidRPr="003F70C2">
        <w:rPr>
          <w:lang w:val="x-none"/>
        </w:rPr>
        <w:t xml:space="preserve"> </w:t>
      </w:r>
      <w:r w:rsidR="00D83209" w:rsidRPr="003F70C2">
        <w:t>d</w:t>
      </w:r>
      <w:proofErr w:type="spellStart"/>
      <w:r w:rsidR="00D83209" w:rsidRPr="003F70C2">
        <w:rPr>
          <w:lang w:val="x-none"/>
        </w:rPr>
        <w:t>rugostupanjski</w:t>
      </w:r>
      <w:proofErr w:type="spellEnd"/>
      <w:r w:rsidR="00D83209" w:rsidRPr="003F70C2">
        <w:rPr>
          <w:lang w:val="x-none"/>
        </w:rPr>
        <w:t xml:space="preserve"> sud dužan je odlučiti o žalbi protiv rješenja o utvrđenim i osporenim tražbinama u roku od osam dana od dana primitka</w:t>
      </w:r>
      <w:r w:rsidR="00D83209" w:rsidRPr="003F70C2">
        <w:rPr>
          <w:rStyle w:val="Referencafusnote"/>
          <w:rFonts w:cs="Arial"/>
          <w:szCs w:val="24"/>
          <w:lang w:val="x-none"/>
        </w:rPr>
        <w:footnoteReference w:id="31"/>
      </w:r>
      <w:r w:rsidR="00D83209" w:rsidRPr="003F70C2">
        <w:rPr>
          <w:lang w:val="x-none"/>
        </w:rPr>
        <w:t>.</w:t>
      </w:r>
    </w:p>
    <w:p w:rsidR="0047305C" w:rsidRPr="0047305C" w:rsidRDefault="0047305C" w:rsidP="00C319FF">
      <w:pPr>
        <w:pStyle w:val="Bezproreda"/>
        <w:ind w:firstLine="705"/>
        <w:jc w:val="both"/>
      </w:pPr>
    </w:p>
    <w:p w:rsidR="0045562A" w:rsidRDefault="0045562A" w:rsidP="00C319FF">
      <w:pPr>
        <w:pStyle w:val="Bezproreda"/>
        <w:jc w:val="both"/>
      </w:pPr>
      <w:r w:rsidRPr="003F70C2">
        <w:tab/>
      </w:r>
      <w:r w:rsidR="00DE265F" w:rsidRPr="003F70C2">
        <w:t xml:space="preserve">Prijedlozi, izjave i prigovori ne mogu se davati, odnosno podnositi ako se propusti rok, odnosno izostane s ročišta na kojem ih je trebalo dati ili podnijeti, ako Zakonom nije drukčije određeno. U </w:t>
      </w:r>
      <w:proofErr w:type="spellStart"/>
      <w:r w:rsidR="00DE265F" w:rsidRPr="003F70C2">
        <w:t>predstečajnom</w:t>
      </w:r>
      <w:proofErr w:type="spellEnd"/>
      <w:r w:rsidR="00DE265F" w:rsidRPr="003F70C2">
        <w:t xml:space="preserve"> postupku ne može se tražiti povrat u prijašnje stanje</w:t>
      </w:r>
      <w:r w:rsidRPr="003F70C2">
        <w:t>, ne može se podnijeti prijedlog za ponavljanje postupka</w:t>
      </w:r>
      <w:r w:rsidR="007E7CEC" w:rsidRPr="003F70C2">
        <w:t>,</w:t>
      </w:r>
      <w:r w:rsidRPr="003F70C2">
        <w:t xml:space="preserve"> </w:t>
      </w:r>
      <w:r w:rsidRPr="003F70C2">
        <w:rPr>
          <w:lang w:val="x-none"/>
        </w:rPr>
        <w:t xml:space="preserve">a revizija se može izjaviti samo ako odluka drugostupanjskog suda ovisi o rješenju nekoga </w:t>
      </w:r>
      <w:proofErr w:type="spellStart"/>
      <w:r w:rsidRPr="003F70C2">
        <w:rPr>
          <w:lang w:val="x-none"/>
        </w:rPr>
        <w:t>materijalnopravnog</w:t>
      </w:r>
      <w:proofErr w:type="spellEnd"/>
      <w:r w:rsidRPr="003F70C2">
        <w:rPr>
          <w:lang w:val="x-none"/>
        </w:rPr>
        <w:t xml:space="preserve"> ili </w:t>
      </w:r>
      <w:proofErr w:type="spellStart"/>
      <w:r w:rsidRPr="003F70C2">
        <w:rPr>
          <w:lang w:val="x-none"/>
        </w:rPr>
        <w:t>postupovnopravnog</w:t>
      </w:r>
      <w:proofErr w:type="spellEnd"/>
      <w:r w:rsidRPr="003F70C2">
        <w:rPr>
          <w:lang w:val="x-none"/>
        </w:rPr>
        <w:t xml:space="preserve"> pitanja važnog za osiguravanje jedinstvene primjene zakona i ravnopravnosti građana</w:t>
      </w:r>
      <w:r w:rsidR="003E4733" w:rsidRPr="003F70C2">
        <w:rPr>
          <w:rStyle w:val="Referencafusnote"/>
          <w:rFonts w:cs="Arial"/>
          <w:szCs w:val="24"/>
          <w:lang w:val="x-none"/>
        </w:rPr>
        <w:footnoteReference w:id="32"/>
      </w:r>
      <w:r w:rsidRPr="003F70C2">
        <w:rPr>
          <w:lang w:val="x-none"/>
        </w:rPr>
        <w:t>.</w:t>
      </w:r>
    </w:p>
    <w:p w:rsidR="00F12AE5" w:rsidRDefault="00F12AE5" w:rsidP="0045562A">
      <w:pPr>
        <w:autoSpaceDE w:val="0"/>
        <w:autoSpaceDN w:val="0"/>
        <w:adjustRightInd w:val="0"/>
        <w:spacing w:before="120" w:after="120" w:line="240" w:lineRule="auto"/>
        <w:jc w:val="both"/>
        <w:rPr>
          <w:rFonts w:ascii="Arial" w:hAnsi="Arial" w:cs="Arial"/>
          <w:sz w:val="24"/>
          <w:szCs w:val="24"/>
        </w:rPr>
      </w:pPr>
    </w:p>
    <w:p w:rsidR="00951AD8" w:rsidRPr="00F12AE5" w:rsidRDefault="00951AD8" w:rsidP="0045562A">
      <w:pPr>
        <w:autoSpaceDE w:val="0"/>
        <w:autoSpaceDN w:val="0"/>
        <w:adjustRightInd w:val="0"/>
        <w:spacing w:before="120" w:after="120" w:line="240" w:lineRule="auto"/>
        <w:jc w:val="both"/>
        <w:rPr>
          <w:rFonts w:ascii="Arial" w:hAnsi="Arial" w:cs="Arial"/>
          <w:sz w:val="24"/>
          <w:szCs w:val="24"/>
        </w:rPr>
      </w:pPr>
    </w:p>
    <w:p w:rsidR="00951AD8" w:rsidRDefault="00951AD8" w:rsidP="00951AD8">
      <w:pPr>
        <w:pStyle w:val="Naslov2"/>
      </w:pPr>
      <w:bookmarkStart w:id="5" w:name="_Toc507067603"/>
      <w:r>
        <w:t>1</w:t>
      </w:r>
      <w:r w:rsidR="00084C72">
        <w:t>.</w:t>
      </w:r>
      <w:r w:rsidR="00DE265F" w:rsidRPr="003F70C2">
        <w:t>4. Istražno (</w:t>
      </w:r>
      <w:proofErr w:type="spellStart"/>
      <w:r w:rsidR="00DE265F" w:rsidRPr="003F70C2">
        <w:t>inkvizitorsko</w:t>
      </w:r>
      <w:proofErr w:type="spellEnd"/>
      <w:r w:rsidR="00DE265F" w:rsidRPr="003F70C2">
        <w:t>) načelo</w:t>
      </w:r>
      <w:bookmarkEnd w:id="5"/>
      <w:r w:rsidR="00DE265F" w:rsidRPr="003F70C2">
        <w:t xml:space="preserve"> </w:t>
      </w:r>
    </w:p>
    <w:p w:rsidR="00951AD8" w:rsidRPr="00951AD8" w:rsidRDefault="00951AD8" w:rsidP="00951AD8"/>
    <w:p w:rsidR="00DE265F" w:rsidRDefault="00DE265F" w:rsidP="00C319FF">
      <w:pPr>
        <w:pStyle w:val="Bezproreda"/>
        <w:ind w:firstLine="705"/>
        <w:jc w:val="both"/>
      </w:pPr>
      <w:r w:rsidRPr="003F70C2">
        <w:t xml:space="preserve">Sud po službenoj dužnosti utvrđuje sve činjenice koje su važne za </w:t>
      </w:r>
      <w:proofErr w:type="spellStart"/>
      <w:r w:rsidRPr="003F70C2">
        <w:t>predstečajni</w:t>
      </w:r>
      <w:proofErr w:type="spellEnd"/>
      <w:r w:rsidRPr="003F70C2">
        <w:t xml:space="preserve"> postupak te radi njihovog utvrđenja </w:t>
      </w:r>
      <w:r w:rsidR="003613EC" w:rsidRPr="003F70C2">
        <w:t xml:space="preserve">može </w:t>
      </w:r>
      <w:r w:rsidRPr="003F70C2">
        <w:t>izvodi</w:t>
      </w:r>
      <w:r w:rsidR="003613EC" w:rsidRPr="003F70C2">
        <w:t>ti</w:t>
      </w:r>
      <w:r w:rsidRPr="003F70C2">
        <w:t xml:space="preserve"> sve potrebne dokaze</w:t>
      </w:r>
      <w:r w:rsidR="008778B7" w:rsidRPr="003F70C2">
        <w:rPr>
          <w:rStyle w:val="Referencafusnote"/>
          <w:rFonts w:cs="Arial"/>
          <w:szCs w:val="24"/>
        </w:rPr>
        <w:footnoteReference w:id="33"/>
      </w:r>
      <w:r w:rsidRPr="003F70C2">
        <w:t xml:space="preserve">. </w:t>
      </w:r>
      <w:r w:rsidR="00C91E88">
        <w:t xml:space="preserve">U </w:t>
      </w:r>
      <w:proofErr w:type="spellStart"/>
      <w:r w:rsidR="00C91E88">
        <w:t>predstečajnom</w:t>
      </w:r>
      <w:proofErr w:type="spellEnd"/>
      <w:r w:rsidR="00C91E88">
        <w:t xml:space="preserve"> postupku ovlasti suda su ograničene pa se opravdano postavlja pitanja u kojim</w:t>
      </w:r>
      <w:r w:rsidR="00C83CD9">
        <w:t>a</w:t>
      </w:r>
      <w:r w:rsidR="00C91E88">
        <w:t xml:space="preserve"> </w:t>
      </w:r>
      <w:r w:rsidR="002578C5">
        <w:t xml:space="preserve">bi </w:t>
      </w:r>
      <w:r w:rsidR="00C91E88">
        <w:t>situacijama sud mo</w:t>
      </w:r>
      <w:r w:rsidR="002578C5">
        <w:t>gao</w:t>
      </w:r>
      <w:r w:rsidR="00C91E88">
        <w:t xml:space="preserve"> izvoditi dokaze radi utvrđenja </w:t>
      </w:r>
      <w:r w:rsidR="00F0749B">
        <w:t>nekih</w:t>
      </w:r>
      <w:r w:rsidR="00C91E88">
        <w:t xml:space="preserve"> činjenica. </w:t>
      </w:r>
    </w:p>
    <w:p w:rsidR="00C319FF" w:rsidRPr="003F70C2" w:rsidRDefault="00C319FF" w:rsidP="00C319FF">
      <w:pPr>
        <w:pStyle w:val="Bezproreda"/>
        <w:ind w:firstLine="705"/>
        <w:jc w:val="both"/>
      </w:pPr>
    </w:p>
    <w:p w:rsidR="00DE265F" w:rsidRPr="003F70C2" w:rsidRDefault="00DE265F" w:rsidP="00C319FF">
      <w:pPr>
        <w:pStyle w:val="Bezproreda"/>
        <w:jc w:val="both"/>
      </w:pPr>
      <w:r w:rsidRPr="003F70C2">
        <w:tab/>
        <w:t>Sud odluke može donositi i bez usmene rasprave</w:t>
      </w:r>
      <w:r w:rsidR="008778B7" w:rsidRPr="003F70C2">
        <w:rPr>
          <w:rStyle w:val="Referencafusnote"/>
          <w:rFonts w:cs="Arial"/>
        </w:rPr>
        <w:footnoteReference w:id="34"/>
      </w:r>
      <w:r w:rsidRPr="003F70C2">
        <w:t>.</w:t>
      </w:r>
    </w:p>
    <w:p w:rsidR="00084C72" w:rsidRDefault="00DE265F" w:rsidP="00C319FF">
      <w:pPr>
        <w:jc w:val="both"/>
        <w:rPr>
          <w:rFonts w:ascii="Arial" w:hAnsi="Arial" w:cs="Arial"/>
          <w:sz w:val="24"/>
          <w:szCs w:val="24"/>
        </w:rPr>
      </w:pPr>
      <w:r w:rsidRPr="003F70C2">
        <w:rPr>
          <w:rFonts w:ascii="Arial" w:hAnsi="Arial" w:cs="Arial"/>
          <w:sz w:val="24"/>
          <w:szCs w:val="24"/>
        </w:rPr>
        <w:tab/>
      </w:r>
    </w:p>
    <w:p w:rsidR="0083747A" w:rsidRDefault="00951AD8" w:rsidP="00951AD8">
      <w:pPr>
        <w:pStyle w:val="Naslov2"/>
      </w:pPr>
      <w:bookmarkStart w:id="6" w:name="_Toc507067604"/>
      <w:r>
        <w:lastRenderedPageBreak/>
        <w:t>1</w:t>
      </w:r>
      <w:r w:rsidR="00084C72" w:rsidRPr="00084C72">
        <w:t>.</w:t>
      </w:r>
      <w:r w:rsidR="0083747A" w:rsidRPr="003F70C2">
        <w:t>5. Načelo pristupa informacijama</w:t>
      </w:r>
      <w:bookmarkEnd w:id="6"/>
      <w:r w:rsidR="0083747A" w:rsidRPr="003F70C2">
        <w:t xml:space="preserve">  </w:t>
      </w:r>
    </w:p>
    <w:p w:rsidR="00951AD8" w:rsidRPr="00951AD8" w:rsidRDefault="00951AD8" w:rsidP="00951AD8"/>
    <w:p w:rsidR="0083747A" w:rsidRDefault="0083747A" w:rsidP="00C319FF">
      <w:pPr>
        <w:pStyle w:val="Bezproreda"/>
        <w:jc w:val="both"/>
      </w:pPr>
      <w:r w:rsidRPr="003F70C2">
        <w:tab/>
        <w:t>U svakom sudu posebno za svakog</w:t>
      </w:r>
      <w:r w:rsidR="004C28C4">
        <w:t>a</w:t>
      </w:r>
      <w:r w:rsidRPr="003F70C2">
        <w:t xml:space="preserve"> dužnika vodit će se očevidnik pismena dostavljenih preko mrežne stranice e-Oglasna ploča sudova u elektroničkom obliku prema redoslijedu objave. Očevidnik pismena je javan i mora biti dostupan zainteresiranim osobama tijekom cijeloga radnog vremena suda. U očevidniku pismena unosit će se podaci na temelju kojih se može utvrditi istovjetnost dužnika, broj predmeta, vrsta sudskoga pismena i dan objave pismena na mrežnoj stranici e-Oglasna ploča sudova</w:t>
      </w:r>
      <w:r w:rsidR="00B002AA" w:rsidRPr="003F70C2">
        <w:rPr>
          <w:rStyle w:val="Referencafusnote"/>
          <w:rFonts w:cs="Arial"/>
          <w:szCs w:val="24"/>
          <w:lang w:val="x-none"/>
        </w:rPr>
        <w:footnoteReference w:id="35"/>
      </w:r>
      <w:r w:rsidRPr="003F70C2">
        <w:t>.</w:t>
      </w:r>
    </w:p>
    <w:p w:rsidR="00C319FF" w:rsidRPr="003F70C2" w:rsidRDefault="00C319FF" w:rsidP="00C319FF">
      <w:pPr>
        <w:pStyle w:val="Bezproreda"/>
        <w:jc w:val="both"/>
      </w:pPr>
    </w:p>
    <w:p w:rsidR="007F06FC" w:rsidRDefault="0083747A" w:rsidP="00C319FF">
      <w:pPr>
        <w:pStyle w:val="Bezproreda"/>
        <w:ind w:firstLine="708"/>
        <w:jc w:val="both"/>
      </w:pPr>
      <w:r w:rsidRPr="003F70C2">
        <w:t xml:space="preserve">Prije pokretanja </w:t>
      </w:r>
      <w:proofErr w:type="spellStart"/>
      <w:r w:rsidRPr="003F70C2">
        <w:t>predstečajnog</w:t>
      </w:r>
      <w:proofErr w:type="spellEnd"/>
      <w:r w:rsidRPr="003F70C2">
        <w:t xml:space="preserve"> postupka dužnik može pregovarati s vjerovnicima te im je dužan na njihov zahtjev davati potrebne obavijesti. Uz prijedlog je dužan dostaviti</w:t>
      </w:r>
      <w:r w:rsidR="007F06FC" w:rsidRPr="003F70C2">
        <w:rPr>
          <w:rStyle w:val="Referencafusnote"/>
          <w:rFonts w:cs="Arial"/>
          <w:szCs w:val="24"/>
        </w:rPr>
        <w:footnoteReference w:id="36"/>
      </w:r>
      <w:r w:rsidR="007F06FC">
        <w:t>:</w:t>
      </w:r>
    </w:p>
    <w:p w:rsidR="007F06FC" w:rsidRDefault="007F06FC" w:rsidP="00C319FF">
      <w:pPr>
        <w:pStyle w:val="Bezproreda"/>
        <w:jc w:val="both"/>
      </w:pPr>
      <w:r>
        <w:t>-</w:t>
      </w:r>
      <w:r w:rsidR="0083747A" w:rsidRPr="003F70C2">
        <w:t xml:space="preserve"> financijske izvještaje u skladu sa Zakonom o računovodstvu</w:t>
      </w:r>
      <w:r w:rsidR="00C91E88">
        <w:rPr>
          <w:rStyle w:val="Referencafusnote"/>
          <w:rFonts w:cs="Arial"/>
          <w:szCs w:val="24"/>
        </w:rPr>
        <w:footnoteReference w:id="37"/>
      </w:r>
      <w:r w:rsidR="002578C5">
        <w:t xml:space="preserve"> koji nisu stariji od tri mjeseca od dana podnošenja prijedloga, s tim da se </w:t>
      </w:r>
      <w:r>
        <w:t xml:space="preserve">usporedni </w:t>
      </w:r>
      <w:r w:rsidR="002578C5">
        <w:t xml:space="preserve">podaci </w:t>
      </w:r>
      <w:r>
        <w:t>u financijskim izvještajima iskazuju sa stanjem na dan godišnjih financijskih izvještaja prethodne godine, odnosno evidencije koje vode u skladu s poreznim propisima ako je dužnik obveznik poreza na dohodak</w:t>
      </w:r>
      <w:r w:rsidR="0083747A" w:rsidRPr="003F70C2">
        <w:t xml:space="preserve">, </w:t>
      </w:r>
    </w:p>
    <w:p w:rsidR="007F06FC" w:rsidRDefault="007F06FC" w:rsidP="00C319FF">
      <w:pPr>
        <w:pStyle w:val="Bezproreda"/>
        <w:jc w:val="both"/>
      </w:pPr>
      <w:r>
        <w:t xml:space="preserve">- izjavu o </w:t>
      </w:r>
      <w:r w:rsidR="0083747A" w:rsidRPr="003F70C2">
        <w:t>broju zaposleni</w:t>
      </w:r>
      <w:r>
        <w:t>h na zadnji dan u mjesecu koji prethodi danu podnošenja prijedloga,</w:t>
      </w:r>
    </w:p>
    <w:p w:rsidR="0083747A" w:rsidRDefault="007F06FC" w:rsidP="00C319FF">
      <w:pPr>
        <w:pStyle w:val="Bezproreda"/>
        <w:jc w:val="both"/>
      </w:pPr>
      <w:r>
        <w:t>- prijedlog plana</w:t>
      </w:r>
      <w:r w:rsidR="0083747A" w:rsidRPr="003F70C2">
        <w:t xml:space="preserve"> restrukturiranja s točno određenim sadržajem</w:t>
      </w:r>
      <w:r>
        <w:rPr>
          <w:rStyle w:val="Referencafusnote"/>
          <w:rFonts w:cs="Arial"/>
          <w:szCs w:val="24"/>
        </w:rPr>
        <w:footnoteReference w:id="38"/>
      </w:r>
      <w:r w:rsidR="0083747A" w:rsidRPr="003F70C2">
        <w:t>.</w:t>
      </w:r>
    </w:p>
    <w:p w:rsidR="00C319FF" w:rsidRDefault="00C319FF" w:rsidP="00C319FF">
      <w:pPr>
        <w:pStyle w:val="Bezproreda"/>
        <w:jc w:val="both"/>
      </w:pPr>
    </w:p>
    <w:p w:rsidR="00C319FF" w:rsidRDefault="00C75168" w:rsidP="00C319FF">
      <w:pPr>
        <w:pStyle w:val="Bezproreda"/>
        <w:ind w:firstLine="708"/>
        <w:jc w:val="both"/>
      </w:pPr>
      <w:r>
        <w:t>Zakon o izmjenama i dopunama Stečajnog zakona brisao je točku 2. i dio točke 3. stavak 1. članka 26. koji je obvezivao dužnik da uz prijedlog dostavi i opis pregovora s vjerovnicima te dokaz o ukupnoj aktivi i dokaz o ukupnom prihodu za prethodnu godinu.</w:t>
      </w:r>
    </w:p>
    <w:p w:rsidR="008229E6" w:rsidRDefault="00C75168" w:rsidP="00C319FF">
      <w:pPr>
        <w:pStyle w:val="Bezproreda"/>
        <w:ind w:firstLine="708"/>
        <w:jc w:val="both"/>
      </w:pPr>
      <w:r>
        <w:t xml:space="preserve"> </w:t>
      </w:r>
    </w:p>
    <w:p w:rsidR="00763DB4" w:rsidRDefault="00756E7E" w:rsidP="00C319FF">
      <w:pPr>
        <w:pStyle w:val="Bezproreda"/>
        <w:ind w:firstLine="705"/>
        <w:jc w:val="both"/>
      </w:pPr>
      <w:r w:rsidRPr="003F70C2">
        <w:t xml:space="preserve">FINA </w:t>
      </w:r>
      <w:r w:rsidR="0050182F">
        <w:t xml:space="preserve">je </w:t>
      </w:r>
      <w:r w:rsidRPr="003F70C2">
        <w:t>dužna omogućiti dužniku i vjerovnicima uvid u cjelokupnu primljenu dokumentaciju</w:t>
      </w:r>
      <w:r w:rsidR="007F06FC">
        <w:t xml:space="preserve"> sve dok istu ne dostavi sudu</w:t>
      </w:r>
      <w:r w:rsidR="007F06FC" w:rsidRPr="003F70C2">
        <w:rPr>
          <w:rStyle w:val="Referencafusnote"/>
          <w:rFonts w:cs="Arial"/>
          <w:szCs w:val="24"/>
        </w:rPr>
        <w:footnoteReference w:id="39"/>
      </w:r>
      <w:r w:rsidRPr="003F70C2">
        <w:t>.</w:t>
      </w:r>
      <w:r w:rsidR="007F06FC">
        <w:t xml:space="preserve"> FINA je dužna dokumentaciju dostaviti sudu u papirnatom obliku u roku od tri dana od isteka roka za osporavanje tražbina, a naknadno primljenu najkasnije prvog dana nakon primitka</w:t>
      </w:r>
      <w:r w:rsidR="007F06FC">
        <w:rPr>
          <w:rStyle w:val="Referencafusnote"/>
          <w:rFonts w:cs="Arial"/>
          <w:szCs w:val="24"/>
        </w:rPr>
        <w:footnoteReference w:id="40"/>
      </w:r>
      <w:r w:rsidR="007F06FC">
        <w:t>.</w:t>
      </w:r>
    </w:p>
    <w:p w:rsidR="0047305C" w:rsidRPr="003F70C2" w:rsidRDefault="0047305C" w:rsidP="00C319FF">
      <w:pPr>
        <w:pStyle w:val="Bezproreda"/>
        <w:ind w:firstLine="705"/>
        <w:jc w:val="both"/>
      </w:pPr>
    </w:p>
    <w:p w:rsidR="008229E6" w:rsidRDefault="008229E6" w:rsidP="00C319FF">
      <w:pPr>
        <w:pStyle w:val="Bezproreda"/>
        <w:jc w:val="both"/>
      </w:pPr>
    </w:p>
    <w:p w:rsidR="00772605" w:rsidRDefault="00951AD8" w:rsidP="00951AD8">
      <w:pPr>
        <w:pStyle w:val="Naslov2"/>
      </w:pPr>
      <w:bookmarkStart w:id="7" w:name="_Toc507067605"/>
      <w:r>
        <w:t>1</w:t>
      </w:r>
      <w:r w:rsidR="00084C72">
        <w:t>.</w:t>
      </w:r>
      <w:r w:rsidR="0083747A" w:rsidRPr="003F70C2">
        <w:t>6</w:t>
      </w:r>
      <w:r w:rsidR="00772605" w:rsidRPr="003F70C2">
        <w:t>. Načelo dobrovoljnosti</w:t>
      </w:r>
      <w:bookmarkEnd w:id="7"/>
    </w:p>
    <w:p w:rsidR="00951AD8" w:rsidRPr="00951AD8" w:rsidRDefault="00951AD8" w:rsidP="00951AD8"/>
    <w:p w:rsidR="00772605" w:rsidRPr="003F70C2" w:rsidRDefault="00772605" w:rsidP="0047305C">
      <w:pPr>
        <w:pStyle w:val="Bezproreda"/>
        <w:ind w:firstLine="705"/>
        <w:jc w:val="both"/>
      </w:pPr>
      <w:r w:rsidRPr="003F70C2">
        <w:t>Smatrat će se da su vjerovnici prihvatili plan restrukturiranja ako je za njega glasovala većina svih vjerovnika i ako u svakoj skupini zbroj tražbina vjerovnika koji su glasovali za plan dvostruko prelazi zbroj tražbina vjerovnika koji su glasovali protiv prihvaćanja plana</w:t>
      </w:r>
      <w:r w:rsidR="00B002AA" w:rsidRPr="003F70C2">
        <w:rPr>
          <w:rStyle w:val="Referencafusnote"/>
          <w:rFonts w:cs="Arial"/>
          <w:szCs w:val="24"/>
        </w:rPr>
        <w:footnoteReference w:id="41"/>
      </w:r>
      <w:r w:rsidRPr="003F70C2">
        <w:t xml:space="preserve">. Međutim, dobrovoljni karakter sporazuma nije u cijelosti poštivan jer on djeluje i prema onim vjerovnicima koji su glasovali protiv plana restrukturiranja u </w:t>
      </w:r>
      <w:proofErr w:type="spellStart"/>
      <w:r w:rsidRPr="003F70C2">
        <w:t>predstečajnom</w:t>
      </w:r>
      <w:proofErr w:type="spellEnd"/>
      <w:r w:rsidRPr="003F70C2">
        <w:t xml:space="preserve"> postupku i u odnosu na vjerovnike koji uopće nisu sudjelovali u </w:t>
      </w:r>
      <w:proofErr w:type="spellStart"/>
      <w:r w:rsidRPr="003F70C2">
        <w:t>predstečajnom</w:t>
      </w:r>
      <w:proofErr w:type="spellEnd"/>
      <w:r w:rsidRPr="003F70C2">
        <w:t xml:space="preserve"> postupku</w:t>
      </w:r>
      <w:r w:rsidR="007729B6" w:rsidRPr="003F70C2">
        <w:rPr>
          <w:rStyle w:val="Referencafusnote"/>
          <w:rFonts w:cs="Arial"/>
          <w:szCs w:val="24"/>
        </w:rPr>
        <w:footnoteReference w:id="42"/>
      </w:r>
      <w:r w:rsidRPr="003F70C2">
        <w:t>.</w:t>
      </w:r>
    </w:p>
    <w:p w:rsidR="0083747A" w:rsidRDefault="0083747A" w:rsidP="00DE265F">
      <w:pPr>
        <w:jc w:val="both"/>
        <w:rPr>
          <w:rFonts w:ascii="Arial" w:hAnsi="Arial" w:cs="Arial"/>
          <w:b/>
          <w:sz w:val="24"/>
          <w:szCs w:val="24"/>
        </w:rPr>
      </w:pPr>
    </w:p>
    <w:p w:rsidR="00281FC4" w:rsidRDefault="00281FC4" w:rsidP="00DE265F">
      <w:pPr>
        <w:jc w:val="both"/>
        <w:rPr>
          <w:rFonts w:ascii="Arial" w:hAnsi="Arial" w:cs="Arial"/>
          <w:b/>
          <w:sz w:val="24"/>
          <w:szCs w:val="24"/>
        </w:rPr>
      </w:pPr>
    </w:p>
    <w:p w:rsidR="00281FC4" w:rsidRPr="003F70C2" w:rsidRDefault="00281FC4" w:rsidP="00DE265F">
      <w:pPr>
        <w:jc w:val="both"/>
        <w:rPr>
          <w:rFonts w:ascii="Arial" w:hAnsi="Arial" w:cs="Arial"/>
          <w:b/>
          <w:sz w:val="24"/>
          <w:szCs w:val="24"/>
        </w:rPr>
      </w:pPr>
    </w:p>
    <w:p w:rsidR="00772605" w:rsidRDefault="00951AD8" w:rsidP="00951AD8">
      <w:pPr>
        <w:pStyle w:val="Naslov2"/>
      </w:pPr>
      <w:bookmarkStart w:id="8" w:name="_Toc507067606"/>
      <w:r>
        <w:lastRenderedPageBreak/>
        <w:t>1</w:t>
      </w:r>
      <w:r w:rsidR="00084C72">
        <w:t>.</w:t>
      </w:r>
      <w:r w:rsidR="0083747A" w:rsidRPr="003F70C2">
        <w:t>7</w:t>
      </w:r>
      <w:r w:rsidR="00FC4B48" w:rsidRPr="003F70C2">
        <w:t xml:space="preserve">. </w:t>
      </w:r>
      <w:r w:rsidR="00772605" w:rsidRPr="003F70C2">
        <w:t>Nadležnost i sastav suda</w:t>
      </w:r>
      <w:bookmarkEnd w:id="8"/>
    </w:p>
    <w:p w:rsidR="00951AD8" w:rsidRPr="00951AD8" w:rsidRDefault="00951AD8" w:rsidP="00951AD8"/>
    <w:p w:rsidR="00772605" w:rsidRPr="00C319FF" w:rsidRDefault="00772605" w:rsidP="000C6A6C">
      <w:pPr>
        <w:pStyle w:val="Bezproreda"/>
        <w:ind w:firstLine="708"/>
        <w:jc w:val="both"/>
      </w:pPr>
      <w:r w:rsidRPr="00C319FF">
        <w:t xml:space="preserve">U </w:t>
      </w:r>
      <w:proofErr w:type="spellStart"/>
      <w:r w:rsidRPr="00C319FF">
        <w:t>predstečajnom</w:t>
      </w:r>
      <w:proofErr w:type="spellEnd"/>
      <w:r w:rsidRPr="00C319FF">
        <w:t xml:space="preserve"> postupku isključivo je stvarno i mjesno nadležan trgovački sud na čijem se području nalazi sjedište dužnika</w:t>
      </w:r>
      <w:r w:rsidR="0047305C">
        <w:rPr>
          <w:rStyle w:val="Referencafusnote"/>
        </w:rPr>
        <w:footnoteReference w:id="43"/>
      </w:r>
      <w:r w:rsidRPr="00C319FF">
        <w:t>.</w:t>
      </w:r>
    </w:p>
    <w:p w:rsidR="00C319FF" w:rsidRPr="00C319FF" w:rsidRDefault="00C319FF" w:rsidP="000C6A6C">
      <w:pPr>
        <w:pStyle w:val="Bezproreda"/>
        <w:jc w:val="both"/>
      </w:pPr>
    </w:p>
    <w:p w:rsidR="00C319FF" w:rsidRPr="00C319FF" w:rsidRDefault="00772605" w:rsidP="000C6A6C">
      <w:pPr>
        <w:pStyle w:val="Bezproreda"/>
        <w:ind w:firstLine="708"/>
        <w:jc w:val="both"/>
      </w:pPr>
      <w:r w:rsidRPr="00C319FF">
        <w:t>Društvo može imati samo jedno sjedište. Sjedište trgovačkog društva je mjesto u R</w:t>
      </w:r>
      <w:r w:rsidR="003A410E" w:rsidRPr="00C319FF">
        <w:t>epublici Hrvatskoj u kojemu je U</w:t>
      </w:r>
      <w:r w:rsidRPr="00C319FF">
        <w:t>prava društva i odakle se upravlja poslovima društva ili u kojemu društvo trajno obavlja djelatnost</w:t>
      </w:r>
      <w:r w:rsidR="003A410E" w:rsidRPr="00C319FF">
        <w:t>, a određeno je Izjavom, D</w:t>
      </w:r>
      <w:r w:rsidRPr="00C319FF">
        <w:t>ruštvenim ugovorom odnosno</w:t>
      </w:r>
      <w:r w:rsidR="003A410E" w:rsidRPr="00C319FF">
        <w:t xml:space="preserve"> S</w:t>
      </w:r>
      <w:r w:rsidRPr="00C319FF">
        <w:t>tatutom</w:t>
      </w:r>
      <w:r w:rsidR="0047305C">
        <w:rPr>
          <w:rStyle w:val="Referencafusnote"/>
        </w:rPr>
        <w:footnoteReference w:id="44"/>
      </w:r>
      <w:r w:rsidRPr="00C319FF">
        <w:t>. U sumnji, sjedište društva je u mjestu koje je upisano u sudskom registru.</w:t>
      </w:r>
    </w:p>
    <w:p w:rsidR="00772605" w:rsidRPr="00C319FF" w:rsidRDefault="00772605" w:rsidP="000C6A6C">
      <w:pPr>
        <w:pStyle w:val="Bezproreda"/>
        <w:jc w:val="both"/>
      </w:pPr>
      <w:r w:rsidRPr="00C319FF">
        <w:t xml:space="preserve"> </w:t>
      </w:r>
    </w:p>
    <w:p w:rsidR="00772605" w:rsidRPr="00C319FF" w:rsidRDefault="00772605" w:rsidP="000C6A6C">
      <w:pPr>
        <w:pStyle w:val="Bezproreda"/>
        <w:ind w:firstLine="708"/>
        <w:jc w:val="both"/>
      </w:pPr>
      <w:r w:rsidRPr="00C319FF">
        <w:t xml:space="preserve">Pod sjedištem dužnika pojedinca smatra se sjedište njegove poslovne djelatnosti koja predstavlja osnovu za njegovo oporezivanje. </w:t>
      </w:r>
      <w:r w:rsidR="003A410E" w:rsidRPr="00C319FF">
        <w:t>Ako dužnik pojedinac nema sjedište, isključivo je stvarno i mjesno nadležan trgovački sud na čijem se području nalazi prebivalište dužnika pojedinca. Ako dužnik pojedinac nema prebivalište, isključivo je stvarno i mjesno nadležan trgovački sud boravišta dužnika</w:t>
      </w:r>
      <w:r w:rsidR="0047305C">
        <w:rPr>
          <w:rStyle w:val="Referencafusnote"/>
        </w:rPr>
        <w:footnoteReference w:id="45"/>
      </w:r>
      <w:r w:rsidR="003A410E" w:rsidRPr="00C319FF">
        <w:t>.</w:t>
      </w:r>
    </w:p>
    <w:p w:rsidR="00C319FF" w:rsidRPr="00C319FF" w:rsidRDefault="00C319FF" w:rsidP="000C6A6C">
      <w:pPr>
        <w:pStyle w:val="Bezproreda"/>
        <w:jc w:val="both"/>
      </w:pPr>
    </w:p>
    <w:p w:rsidR="00772605" w:rsidRPr="00C319FF" w:rsidRDefault="00772605" w:rsidP="000C6A6C">
      <w:pPr>
        <w:pStyle w:val="Bezproreda"/>
        <w:ind w:firstLine="708"/>
        <w:jc w:val="both"/>
      </w:pPr>
      <w:r w:rsidRPr="00C319FF">
        <w:t>Sjedište ustanove je u mjestu u kojem ustanova obavlja svoju djelatnost. Ako ustanova obavlja djelatnost u više mjesta, sjedište ustanove je mjesto u kojem je sjedište poslovodnog organa</w:t>
      </w:r>
      <w:r w:rsidR="0047305C">
        <w:rPr>
          <w:rStyle w:val="Referencafusnote"/>
        </w:rPr>
        <w:footnoteReference w:id="46"/>
      </w:r>
      <w:r w:rsidRPr="00C319FF">
        <w:t>.</w:t>
      </w:r>
    </w:p>
    <w:p w:rsidR="00C319FF" w:rsidRPr="00C319FF" w:rsidRDefault="00C319FF" w:rsidP="000C6A6C">
      <w:pPr>
        <w:pStyle w:val="Bezproreda"/>
        <w:jc w:val="both"/>
      </w:pPr>
    </w:p>
    <w:p w:rsidR="00772605" w:rsidRPr="00C319FF" w:rsidRDefault="00772605" w:rsidP="000C6A6C">
      <w:pPr>
        <w:pStyle w:val="Bezproreda"/>
        <w:ind w:firstLine="708"/>
        <w:jc w:val="both"/>
      </w:pPr>
      <w:proofErr w:type="spellStart"/>
      <w:r w:rsidRPr="00C319FF">
        <w:t>Predstečajni</w:t>
      </w:r>
      <w:proofErr w:type="spellEnd"/>
      <w:r w:rsidRPr="00C319FF">
        <w:t xml:space="preserve"> postupak provodi sudac pojedinac</w:t>
      </w:r>
      <w:r w:rsidR="0047305C">
        <w:rPr>
          <w:rStyle w:val="Referencafusnote"/>
        </w:rPr>
        <w:footnoteReference w:id="47"/>
      </w:r>
      <w:r w:rsidRPr="00C319FF">
        <w:t xml:space="preserve">. </w:t>
      </w:r>
    </w:p>
    <w:p w:rsidR="00C319FF" w:rsidRPr="00C319FF" w:rsidRDefault="00C319FF" w:rsidP="000C6A6C">
      <w:pPr>
        <w:pStyle w:val="Bezproreda"/>
        <w:jc w:val="both"/>
      </w:pPr>
    </w:p>
    <w:p w:rsidR="00763DB4" w:rsidRPr="00C319FF" w:rsidRDefault="00763DB4" w:rsidP="000C6A6C">
      <w:pPr>
        <w:pStyle w:val="Bezproreda"/>
        <w:ind w:firstLine="708"/>
        <w:jc w:val="both"/>
      </w:pPr>
      <w:r w:rsidRPr="00C319FF">
        <w:t>Dr</w:t>
      </w:r>
      <w:r w:rsidR="00772605" w:rsidRPr="00C319FF">
        <w:t xml:space="preserve">ugostupanjski sud odlučuje o žalbi u vijeću koje je sastavljeno od tri </w:t>
      </w:r>
      <w:r w:rsidR="00426238" w:rsidRPr="00C319FF">
        <w:t>suca</w:t>
      </w:r>
      <w:r w:rsidR="0047305C">
        <w:rPr>
          <w:rStyle w:val="Referencafusnote"/>
        </w:rPr>
        <w:footnoteReference w:id="48"/>
      </w:r>
      <w:r w:rsidR="00772605" w:rsidRPr="00C319FF">
        <w:t xml:space="preserve">. </w:t>
      </w:r>
    </w:p>
    <w:p w:rsidR="00C319FF" w:rsidRPr="00C319FF" w:rsidRDefault="00C319FF" w:rsidP="000C6A6C">
      <w:pPr>
        <w:pStyle w:val="Bezproreda"/>
        <w:jc w:val="both"/>
      </w:pPr>
    </w:p>
    <w:p w:rsidR="00772605" w:rsidRDefault="00772605" w:rsidP="000C6A6C">
      <w:pPr>
        <w:pStyle w:val="Bezproreda"/>
        <w:ind w:firstLine="708"/>
        <w:jc w:val="both"/>
      </w:pPr>
      <w:r w:rsidRPr="00C319FF">
        <w:t>Ako je podnesen zahtjev za izuzeće suca, sudac može nastaviti s radom u postupku dok se ne odluči o zahtjevu za izuzeće. O zahtjevu za izuzeće suca predsjednik suda mora odlučiti najkasnije u roku od tri dana</w:t>
      </w:r>
      <w:r w:rsidR="0047305C">
        <w:rPr>
          <w:rStyle w:val="Referencafusnote"/>
        </w:rPr>
        <w:footnoteReference w:id="49"/>
      </w:r>
      <w:r w:rsidRPr="00C319FF">
        <w:t>. Ako se prihvati zahtjev za izuzeće suca, ukinut će se radnje koje je poduzeo ili u čijem je poduzimanju sudjelovao</w:t>
      </w:r>
      <w:r w:rsidR="0047305C">
        <w:rPr>
          <w:rStyle w:val="Referencafusnote"/>
        </w:rPr>
        <w:footnoteReference w:id="50"/>
      </w:r>
      <w:r w:rsidRPr="00C319FF">
        <w:t>.</w:t>
      </w:r>
    </w:p>
    <w:p w:rsidR="000C6A6C" w:rsidRDefault="000C6A6C" w:rsidP="000C6A6C">
      <w:pPr>
        <w:pStyle w:val="Bezproreda"/>
        <w:ind w:firstLine="708"/>
        <w:jc w:val="both"/>
      </w:pPr>
    </w:p>
    <w:p w:rsidR="000C6A6C" w:rsidRDefault="000C6A6C" w:rsidP="000C6A6C">
      <w:pPr>
        <w:pStyle w:val="Bezproreda"/>
        <w:ind w:firstLine="708"/>
        <w:jc w:val="both"/>
      </w:pPr>
    </w:p>
    <w:p w:rsidR="00426238" w:rsidRPr="003F70C2" w:rsidRDefault="00426238" w:rsidP="00951AD8">
      <w:pPr>
        <w:jc w:val="both"/>
        <w:rPr>
          <w:rFonts w:ascii="Arial" w:hAnsi="Arial" w:cs="Arial"/>
          <w:sz w:val="24"/>
          <w:szCs w:val="24"/>
        </w:rPr>
      </w:pPr>
    </w:p>
    <w:p w:rsidR="0083747A" w:rsidRDefault="00951AD8" w:rsidP="00951AD8">
      <w:pPr>
        <w:pStyle w:val="Naslov2"/>
      </w:pPr>
      <w:bookmarkStart w:id="9" w:name="_Toc507067607"/>
      <w:r>
        <w:t>1</w:t>
      </w:r>
      <w:r w:rsidR="00084C72">
        <w:t>.</w:t>
      </w:r>
      <w:r w:rsidR="0083747A" w:rsidRPr="003F70C2">
        <w:t>8. Elektronička dostav</w:t>
      </w:r>
      <w:r w:rsidR="000426AB">
        <w:t>a</w:t>
      </w:r>
      <w:r w:rsidR="0083747A" w:rsidRPr="003F70C2">
        <w:t xml:space="preserve"> sudskih pismena</w:t>
      </w:r>
      <w:bookmarkEnd w:id="9"/>
    </w:p>
    <w:p w:rsidR="00951AD8" w:rsidRPr="00951AD8" w:rsidRDefault="00951AD8" w:rsidP="00951AD8"/>
    <w:p w:rsidR="003613EC" w:rsidRDefault="0083747A" w:rsidP="00A43226">
      <w:pPr>
        <w:pStyle w:val="Bezproreda"/>
        <w:ind w:firstLine="708"/>
        <w:jc w:val="both"/>
      </w:pPr>
      <w:r w:rsidRPr="003F70C2">
        <w:t>Sudska pismena dostavljaju se objavom pismena na mrežnoj stranici e-Oglasna ploča sudova, ako Zakonom nije drukčije određeno. Dostava se smatra obavljenom istekom osmog dana od dana objave pismena na mrežnoj stranici e-Oglasna ploča sudova</w:t>
      </w:r>
      <w:r w:rsidRPr="003F70C2">
        <w:rPr>
          <w:rStyle w:val="Referencafusnote"/>
          <w:rFonts w:cs="Arial"/>
          <w:szCs w:val="24"/>
        </w:rPr>
        <w:footnoteReference w:id="51"/>
      </w:r>
      <w:r w:rsidRPr="003F70C2">
        <w:t>.</w:t>
      </w:r>
    </w:p>
    <w:p w:rsidR="00C319FF" w:rsidRPr="003F70C2" w:rsidRDefault="00C319FF" w:rsidP="00C319FF">
      <w:pPr>
        <w:pStyle w:val="Bezproreda"/>
        <w:ind w:firstLine="708"/>
      </w:pPr>
    </w:p>
    <w:p w:rsidR="0083747A" w:rsidRDefault="007729B6" w:rsidP="00C319FF">
      <w:pPr>
        <w:pStyle w:val="Bezproreda"/>
        <w:ind w:firstLine="708"/>
        <w:jc w:val="both"/>
      </w:pPr>
      <w:r w:rsidRPr="003F70C2">
        <w:t xml:space="preserve">Prilikom računanja rokova treba primijeniti </w:t>
      </w:r>
      <w:r w:rsidR="0083747A" w:rsidRPr="003F70C2">
        <w:t>pravila o računanju rokova</w:t>
      </w:r>
      <w:r w:rsidRPr="003F70C2">
        <w:t>. Ako se rok računa na dane</w:t>
      </w:r>
      <w:r w:rsidR="0083747A" w:rsidRPr="003F70C2">
        <w:t xml:space="preserve">, u rok se ne uračunava dan kad je dostava ili saopćenje obavljeno odnosno </w:t>
      </w:r>
      <w:r w:rsidR="000314CF" w:rsidRPr="003F70C2">
        <w:t xml:space="preserve">dan </w:t>
      </w:r>
      <w:r w:rsidR="0083747A" w:rsidRPr="003F70C2">
        <w:t>u koji pada događaj otkada treba računati trajanje roka. Slijedom toga, dan objave na mrežnoj stranici e-</w:t>
      </w:r>
      <w:r w:rsidR="0083747A" w:rsidRPr="003F70C2">
        <w:lastRenderedPageBreak/>
        <w:t>Oglasna ploča sudova ne računa se u trajanje roka</w:t>
      </w:r>
      <w:r w:rsidR="0083747A" w:rsidRPr="003F70C2">
        <w:rPr>
          <w:rStyle w:val="Referencafusnote"/>
          <w:rFonts w:cs="Arial"/>
          <w:szCs w:val="24"/>
        </w:rPr>
        <w:footnoteReference w:id="52"/>
      </w:r>
      <w:r w:rsidR="0083747A" w:rsidRPr="003F70C2">
        <w:t>. Primjera radi</w:t>
      </w:r>
      <w:r w:rsidR="000426AB">
        <w:t>,</w:t>
      </w:r>
      <w:r w:rsidR="0083747A" w:rsidRPr="003F70C2">
        <w:t xml:space="preserve"> ako je odluka objavljena </w:t>
      </w:r>
      <w:r w:rsidR="0013064C">
        <w:t>na e-Ogla</w:t>
      </w:r>
      <w:r w:rsidR="000426AB">
        <w:t>s</w:t>
      </w:r>
      <w:r w:rsidR="0013064C">
        <w:t xml:space="preserve">noj ploči sudova </w:t>
      </w:r>
      <w:r w:rsidR="0083747A" w:rsidRPr="003F70C2">
        <w:t>5. listopada 2015.</w:t>
      </w:r>
      <w:r w:rsidR="0013064C">
        <w:t>,</w:t>
      </w:r>
      <w:r w:rsidR="0083747A" w:rsidRPr="003F70C2">
        <w:t xml:space="preserve"> dostava se smatra obavljenom istekom osam dana od dana objave odnosno 13. listopada 2015. pa imajući u vidu da je rok za žalbu osam dana </w:t>
      </w:r>
      <w:r w:rsidR="0013064C">
        <w:t>isti je počeo teći 14. listopada 2017.</w:t>
      </w:r>
      <w:r w:rsidR="000426AB">
        <w:t>,</w:t>
      </w:r>
      <w:r w:rsidR="0013064C">
        <w:t xml:space="preserve"> a </w:t>
      </w:r>
      <w:r w:rsidR="0083747A" w:rsidRPr="003F70C2">
        <w:t xml:space="preserve">zadnji dan roka za žalbu je 21. listopada 2015. </w:t>
      </w:r>
    </w:p>
    <w:p w:rsidR="00C319FF" w:rsidRPr="003F70C2" w:rsidRDefault="00C319FF" w:rsidP="00C319FF">
      <w:pPr>
        <w:pStyle w:val="Bezproreda"/>
        <w:ind w:firstLine="708"/>
        <w:jc w:val="both"/>
      </w:pPr>
    </w:p>
    <w:p w:rsidR="0052204B" w:rsidRDefault="000314CF" w:rsidP="00C319FF">
      <w:pPr>
        <w:pStyle w:val="Bezproreda"/>
        <w:ind w:firstLine="708"/>
        <w:jc w:val="both"/>
      </w:pPr>
      <w:r w:rsidRPr="003F70C2">
        <w:t>Objava pismena na mrežnoj stranici e-Oglasna ploča sudova smatra se dokazom da je dostava obavljena svim sudionicima i onima za koje Zakon propisuje posebnu dostavu</w:t>
      </w:r>
      <w:r w:rsidRPr="003F70C2">
        <w:rPr>
          <w:rStyle w:val="Referencafusnote"/>
          <w:rFonts w:cs="Arial"/>
          <w:szCs w:val="24"/>
        </w:rPr>
        <w:footnoteReference w:id="53"/>
      </w:r>
      <w:r w:rsidRPr="003F70C2">
        <w:t>.</w:t>
      </w:r>
    </w:p>
    <w:p w:rsidR="00C319FF" w:rsidRPr="003F70C2" w:rsidRDefault="00C319FF" w:rsidP="00C319FF">
      <w:pPr>
        <w:pStyle w:val="Bezproreda"/>
        <w:ind w:firstLine="708"/>
        <w:jc w:val="both"/>
      </w:pPr>
    </w:p>
    <w:p w:rsidR="0013064C" w:rsidRDefault="009F12E7" w:rsidP="00C319FF">
      <w:pPr>
        <w:pStyle w:val="Bezproreda"/>
        <w:ind w:firstLine="708"/>
        <w:jc w:val="both"/>
      </w:pPr>
      <w:r w:rsidRPr="003F70C2">
        <w:t>Zakon</w:t>
      </w:r>
      <w:r w:rsidR="008B2574" w:rsidRPr="003F70C2">
        <w:t xml:space="preserve"> </w:t>
      </w:r>
      <w:r w:rsidR="00380032">
        <w:t xml:space="preserve">je </w:t>
      </w:r>
      <w:r w:rsidR="008B2574" w:rsidRPr="003F70C2">
        <w:t>propis</w:t>
      </w:r>
      <w:r w:rsidR="00380032">
        <w:t>ao</w:t>
      </w:r>
      <w:r w:rsidR="008B2574" w:rsidRPr="003F70C2">
        <w:t xml:space="preserve"> da se</w:t>
      </w:r>
      <w:r w:rsidRPr="003F70C2">
        <w:t xml:space="preserve"> rokovi računaju od dana </w:t>
      </w:r>
      <w:r w:rsidR="0013064C">
        <w:t xml:space="preserve">dostave ili od dana </w:t>
      </w:r>
      <w:r w:rsidRPr="003F70C2">
        <w:t xml:space="preserve">objave </w:t>
      </w:r>
      <w:r w:rsidR="0013064C">
        <w:t xml:space="preserve">pismena </w:t>
      </w:r>
      <w:r w:rsidRPr="003F70C2">
        <w:t>na mrežnoj stranici e-Oglasna ploča sudova</w:t>
      </w:r>
      <w:r w:rsidR="00380032">
        <w:t>, ako Zakonom nije drukčije propisano</w:t>
      </w:r>
      <w:r w:rsidR="00FF7E2F" w:rsidRPr="003F70C2">
        <w:t xml:space="preserve">. </w:t>
      </w:r>
      <w:r w:rsidR="0013064C">
        <w:t xml:space="preserve">Do dana stupanja na snagu ZIDSZ u </w:t>
      </w:r>
      <w:proofErr w:type="spellStart"/>
      <w:r w:rsidR="0013064C">
        <w:t>prestečajnom</w:t>
      </w:r>
      <w:proofErr w:type="spellEnd"/>
      <w:r w:rsidR="0013064C">
        <w:t xml:space="preserve"> postupku određeni rokovi računali su se od dana dostave, a neki od dana objave. Tako se p</w:t>
      </w:r>
      <w:r w:rsidR="00380032">
        <w:t xml:space="preserve">rimjera radi </w:t>
      </w:r>
      <w:r w:rsidRPr="003F70C2">
        <w:t xml:space="preserve">rok za prijavu tražbine u </w:t>
      </w:r>
      <w:proofErr w:type="spellStart"/>
      <w:r w:rsidRPr="003F70C2">
        <w:t>predstečajnom</w:t>
      </w:r>
      <w:proofErr w:type="spellEnd"/>
      <w:r w:rsidRPr="003F70C2">
        <w:t xml:space="preserve"> postupku računa</w:t>
      </w:r>
      <w:r w:rsidR="0013064C">
        <w:t xml:space="preserve">o </w:t>
      </w:r>
      <w:r w:rsidRPr="003F70C2">
        <w:t>od dana objave poziva vjerovnicima na mrežnoj stranici e-Oglasna ploča sudova</w:t>
      </w:r>
      <w:r w:rsidR="00380032">
        <w:t xml:space="preserve">. Međutim, </w:t>
      </w:r>
      <w:r w:rsidR="0013064C">
        <w:t>stupanjem na snagu ZIDS</w:t>
      </w:r>
      <w:r w:rsidR="00A43226">
        <w:t xml:space="preserve">Z svi rokovi u </w:t>
      </w:r>
      <w:proofErr w:type="spellStart"/>
      <w:r w:rsidR="00A43226">
        <w:t>predstečajnom</w:t>
      </w:r>
      <w:proofErr w:type="spellEnd"/>
      <w:r w:rsidR="00A43226">
        <w:t xml:space="preserve"> po</w:t>
      </w:r>
      <w:r w:rsidR="0013064C">
        <w:t>st</w:t>
      </w:r>
      <w:r w:rsidR="00A43226">
        <w:t>u</w:t>
      </w:r>
      <w:r w:rsidR="0013064C">
        <w:t xml:space="preserve">pku </w:t>
      </w:r>
      <w:r w:rsidR="00A43226">
        <w:t xml:space="preserve">računaju se </w:t>
      </w:r>
      <w:r w:rsidR="0013064C">
        <w:t xml:space="preserve">od dana dostave pismena. Dostava se smatra obavljenom istekom osmog dana od dana objave. </w:t>
      </w:r>
    </w:p>
    <w:p w:rsidR="00C319FF" w:rsidRDefault="00C319FF" w:rsidP="00C319FF">
      <w:pPr>
        <w:pStyle w:val="Bezproreda"/>
        <w:ind w:firstLine="708"/>
        <w:jc w:val="both"/>
      </w:pPr>
    </w:p>
    <w:p w:rsidR="00FF7E2F" w:rsidRDefault="0013064C" w:rsidP="00C319FF">
      <w:pPr>
        <w:pStyle w:val="Bezproreda"/>
        <w:ind w:firstLine="708"/>
        <w:jc w:val="both"/>
      </w:pPr>
      <w:r>
        <w:t xml:space="preserve">Problem računanja rokova ostao je i dalje u stečajnim postupcima. </w:t>
      </w:r>
      <w:r w:rsidR="00292160">
        <w:t xml:space="preserve">Odredba članka 129. stavak 1. točka 2. SZ-a propisuje da se vjerovnicima upućuje poziv da stečajnom upravitelju u roku od 60 dana od dana objave rješenja o otvaranju stečajnog postupka prijave svoje tražbine. </w:t>
      </w:r>
      <w:r>
        <w:t xml:space="preserve"> </w:t>
      </w:r>
      <w:r w:rsidR="00292160">
        <w:t>U skladu s navedenim</w:t>
      </w:r>
      <w:r w:rsidR="00A43226">
        <w:t>,</w:t>
      </w:r>
      <w:r w:rsidR="00292160">
        <w:t xml:space="preserve"> zakonodavac je odredio od kada teče rok za prijavu tražbine. Međutim, </w:t>
      </w:r>
      <w:r w:rsidR="00380032">
        <w:t>p</w:t>
      </w:r>
      <w:r w:rsidR="00380032" w:rsidRPr="003F70C2">
        <w:t xml:space="preserve">ostoje zagovornici koji smatraju da se </w:t>
      </w:r>
      <w:r w:rsidR="00380032">
        <w:t>svi rokovi r</w:t>
      </w:r>
      <w:r w:rsidR="00380032" w:rsidRPr="003F70C2">
        <w:t>ačuna</w:t>
      </w:r>
      <w:r w:rsidR="00380032">
        <w:t>ju</w:t>
      </w:r>
      <w:r w:rsidR="00380032" w:rsidRPr="003F70C2">
        <w:t xml:space="preserve"> od dana dostave </w:t>
      </w:r>
      <w:r w:rsidR="00292160">
        <w:t>pismena,</w:t>
      </w:r>
      <w:r w:rsidR="00380032" w:rsidRPr="003F70C2">
        <w:t xml:space="preserve"> a ne od dana </w:t>
      </w:r>
      <w:r w:rsidR="00292160">
        <w:t xml:space="preserve">njegove </w:t>
      </w:r>
      <w:r w:rsidR="00380032" w:rsidRPr="003F70C2">
        <w:t>objave.</w:t>
      </w:r>
      <w:r w:rsidR="00380032">
        <w:t xml:space="preserve"> O</w:t>
      </w:r>
      <w:r w:rsidR="009F12E7" w:rsidRPr="003F70C2">
        <w:t>dredb</w:t>
      </w:r>
      <w:r w:rsidR="00380032">
        <w:t>a</w:t>
      </w:r>
      <w:r w:rsidR="009F12E7" w:rsidRPr="003F70C2">
        <w:t xml:space="preserve"> članka 12. </w:t>
      </w:r>
      <w:r w:rsidR="00380032">
        <w:t xml:space="preserve">stavak 1. </w:t>
      </w:r>
      <w:r w:rsidR="009F12E7" w:rsidRPr="003F70C2">
        <w:t xml:space="preserve">SZ-a </w:t>
      </w:r>
      <w:r w:rsidR="00380032">
        <w:t>propisuje da se dostava smatra obavljenom istekom osmog dana od dana objave pismena na mrežnoj stranici e-Oglasna ploča sudova. A</w:t>
      </w:r>
      <w:r w:rsidR="009F12E7" w:rsidRPr="003F70C2">
        <w:t xml:space="preserve">ko </w:t>
      </w:r>
      <w:r w:rsidR="00380032">
        <w:t>j</w:t>
      </w:r>
      <w:r w:rsidR="009F12E7" w:rsidRPr="003F70C2">
        <w:t xml:space="preserve">e dostava </w:t>
      </w:r>
      <w:r w:rsidR="00380032">
        <w:t xml:space="preserve">obavljena putem mrežne stranice e-Oglasna ploča sudova dostava se </w:t>
      </w:r>
      <w:r w:rsidR="009F12E7" w:rsidRPr="003F70C2">
        <w:t xml:space="preserve">smatra obavljenom istekom osmog dana od dana objave </w:t>
      </w:r>
      <w:r w:rsidR="00380032">
        <w:t xml:space="preserve">pa sve </w:t>
      </w:r>
      <w:r w:rsidR="009F12E7" w:rsidRPr="003F70C2">
        <w:t>rok</w:t>
      </w:r>
      <w:r w:rsidR="00380032">
        <w:t>ove</w:t>
      </w:r>
      <w:r w:rsidR="009F12E7" w:rsidRPr="003F70C2">
        <w:t xml:space="preserve"> </w:t>
      </w:r>
      <w:r w:rsidR="00380032">
        <w:t xml:space="preserve">treba </w:t>
      </w:r>
      <w:r w:rsidR="009F12E7" w:rsidRPr="003F70C2">
        <w:t>računati od isteka osmog dana od dana objave.</w:t>
      </w:r>
      <w:r w:rsidR="008B2574" w:rsidRPr="003F70C2">
        <w:t xml:space="preserve"> </w:t>
      </w:r>
      <w:r w:rsidR="00FF7E2F" w:rsidRPr="003F70C2">
        <w:t xml:space="preserve">Visoki trgovački sud RH prihvatio je pravno shvaćanje na </w:t>
      </w:r>
      <w:r w:rsidR="00CE6E6A">
        <w:t xml:space="preserve">29. sjednici Odjela trgovačkih i ostalih sporova </w:t>
      </w:r>
      <w:r w:rsidR="00380032">
        <w:t xml:space="preserve">održanoj </w:t>
      </w:r>
      <w:r w:rsidR="00CE6E6A">
        <w:t xml:space="preserve">12. srpnja </w:t>
      </w:r>
      <w:r w:rsidR="00380032">
        <w:t xml:space="preserve">2017. </w:t>
      </w:r>
      <w:r w:rsidR="00FF7E2F" w:rsidRPr="003F70C2">
        <w:t>koje glasi:</w:t>
      </w:r>
    </w:p>
    <w:p w:rsidR="00CE6E6A" w:rsidRDefault="00CE6E6A" w:rsidP="00C319FF">
      <w:pPr>
        <w:pStyle w:val="Bezproreda"/>
        <w:jc w:val="both"/>
        <w:rPr>
          <w:i/>
        </w:rPr>
      </w:pPr>
      <w:r w:rsidRPr="00CE6E6A">
        <w:rPr>
          <w:i/>
        </w:rPr>
        <w:t>Kad je Stečajnim zakonom propisano da se određeni rokovi računaju od dana objave na mrežnoj stranici e-Oglasna ploča sudova</w:t>
      </w:r>
      <w:r>
        <w:rPr>
          <w:i/>
        </w:rPr>
        <w:t xml:space="preserve"> i tada se u računanju rokova primjenjuje odredba članka 12. stavak 1. Stečajnog zakona o dostavi sudskih pismena. Rokovi se računaju od isteka osmog dana od dana objave. </w:t>
      </w:r>
    </w:p>
    <w:p w:rsidR="00C319FF" w:rsidRPr="00CE6E6A" w:rsidRDefault="00C319FF" w:rsidP="00C319FF">
      <w:pPr>
        <w:pStyle w:val="Bezproreda"/>
        <w:jc w:val="both"/>
        <w:rPr>
          <w:i/>
        </w:rPr>
      </w:pPr>
    </w:p>
    <w:p w:rsidR="00064647" w:rsidRPr="00CE6E6A" w:rsidRDefault="00FF7E2F" w:rsidP="00C319FF">
      <w:pPr>
        <w:pStyle w:val="Bezproreda"/>
        <w:ind w:firstLine="705"/>
        <w:jc w:val="both"/>
      </w:pPr>
      <w:r w:rsidRPr="00CE6E6A">
        <w:t xml:space="preserve">Držimo da </w:t>
      </w:r>
      <w:r w:rsidR="00CE6E6A">
        <w:t>uopće nije bilo potrebe za zauzimanjem pravnog shvaćanja budući da su odredbe Stečajnog zakona o računanju rokova potpuno jasne. Nadalje, prihvaćeno pravno</w:t>
      </w:r>
      <w:r w:rsidRPr="00CE6E6A">
        <w:t xml:space="preserve"> shvaćanje </w:t>
      </w:r>
      <w:r w:rsidR="00A43226">
        <w:t xml:space="preserve">je </w:t>
      </w:r>
      <w:r w:rsidRPr="00CE6E6A">
        <w:t xml:space="preserve">protivno zakonu, što potvrđuje </w:t>
      </w:r>
      <w:r w:rsidR="00292160" w:rsidRPr="00CE6E6A">
        <w:t xml:space="preserve">i </w:t>
      </w:r>
      <w:r w:rsidRPr="00CE6E6A">
        <w:t>Zakon o izmjenam</w:t>
      </w:r>
      <w:r w:rsidR="00380032" w:rsidRPr="00CE6E6A">
        <w:t>a</w:t>
      </w:r>
      <w:r w:rsidRPr="00CE6E6A">
        <w:t xml:space="preserve"> i dopunama Steč</w:t>
      </w:r>
      <w:r w:rsidR="00292160" w:rsidRPr="00CE6E6A">
        <w:t>a</w:t>
      </w:r>
      <w:r w:rsidRPr="00CE6E6A">
        <w:t>jnog zakona</w:t>
      </w:r>
      <w:r w:rsidR="00380032" w:rsidRPr="00CE6E6A">
        <w:t xml:space="preserve"> koji je </w:t>
      </w:r>
      <w:r w:rsidR="00CE6E6A">
        <w:t xml:space="preserve">izmijenio početak tijeka računanja </w:t>
      </w:r>
      <w:r w:rsidR="00BE67E5">
        <w:t>samo nekih</w:t>
      </w:r>
      <w:r w:rsidR="000C6A6C">
        <w:t xml:space="preserve"> roko</w:t>
      </w:r>
      <w:r w:rsidR="00CE6E6A">
        <w:t>va.</w:t>
      </w:r>
      <w:r w:rsidR="00292160" w:rsidRPr="00CE6E6A">
        <w:t xml:space="preserve"> </w:t>
      </w:r>
      <w:r w:rsidR="00CE6E6A">
        <w:t xml:space="preserve">Primjera radi, </w:t>
      </w:r>
      <w:r w:rsidR="00292160" w:rsidRPr="00CE6E6A">
        <w:t xml:space="preserve">rok za prijavu tražbina u </w:t>
      </w:r>
      <w:proofErr w:type="spellStart"/>
      <w:r w:rsidR="00292160" w:rsidRPr="00CE6E6A">
        <w:t>predstečajnom</w:t>
      </w:r>
      <w:proofErr w:type="spellEnd"/>
      <w:r w:rsidR="00292160" w:rsidRPr="00CE6E6A">
        <w:t xml:space="preserve"> postupku </w:t>
      </w:r>
      <w:r w:rsidR="00CE6E6A">
        <w:t xml:space="preserve">računao se od dana objave rješenja o otvaranju </w:t>
      </w:r>
      <w:proofErr w:type="spellStart"/>
      <w:r w:rsidR="00CE6E6A">
        <w:t>predstečajnog</w:t>
      </w:r>
      <w:proofErr w:type="spellEnd"/>
      <w:r w:rsidR="00CE6E6A">
        <w:t xml:space="preserve"> postupka, a sada </w:t>
      </w:r>
      <w:r w:rsidR="00292160" w:rsidRPr="00CE6E6A">
        <w:t xml:space="preserve">počinje teći od dana dostave rješenja o otvaranju </w:t>
      </w:r>
      <w:proofErr w:type="spellStart"/>
      <w:r w:rsidR="00292160" w:rsidRPr="00CE6E6A">
        <w:t>predstečajnog</w:t>
      </w:r>
      <w:proofErr w:type="spellEnd"/>
      <w:r w:rsidR="00292160" w:rsidRPr="00CE6E6A">
        <w:t xml:space="preserve"> postupka</w:t>
      </w:r>
      <w:r w:rsidR="00CE6E6A">
        <w:t xml:space="preserve">. Imajući u vidu prihvaćeno pravno shvaćanje VTS RH da se svi rokovi računaju od dana dostave pismena, a ne od dana objave, </w:t>
      </w:r>
      <w:r w:rsidR="00292160" w:rsidRPr="00CE6E6A">
        <w:t>izmjena zakona u navedenom dijelu</w:t>
      </w:r>
      <w:r w:rsidR="00A75A17" w:rsidRPr="00CE6E6A">
        <w:t xml:space="preserve"> </w:t>
      </w:r>
      <w:r w:rsidR="00CE6E6A">
        <w:t xml:space="preserve">je potpuno suvišna jer su sudovi početak tijeka računanja rokova računali od dana dostave, a ne od dana objave. </w:t>
      </w:r>
      <w:r w:rsidR="00292160" w:rsidRPr="00CE6E6A">
        <w:t xml:space="preserve">Drugo, zakonodavac je i dalje ostao kod </w:t>
      </w:r>
      <w:r w:rsidR="00C75168" w:rsidRPr="00CE6E6A">
        <w:t xml:space="preserve">drukčijeg računanja određenih rokova koji </w:t>
      </w:r>
      <w:r w:rsidR="00BE67E5">
        <w:t xml:space="preserve">i dalje </w:t>
      </w:r>
      <w:r w:rsidR="00C75168" w:rsidRPr="00CE6E6A">
        <w:t>počinju teći od dana objave pismena</w:t>
      </w:r>
      <w:r w:rsidR="00BE67E5">
        <w:t>. T</w:t>
      </w:r>
      <w:r w:rsidR="00CE6E6A">
        <w:t xml:space="preserve">ako i </w:t>
      </w:r>
      <w:r w:rsidR="00BE67E5">
        <w:t xml:space="preserve">rok </w:t>
      </w:r>
      <w:r w:rsidR="00CE6E6A">
        <w:t>za prijavu tražbina u stečajnom postupku</w:t>
      </w:r>
      <w:r w:rsidR="00A75A17" w:rsidRPr="00CE6E6A">
        <w:rPr>
          <w:rStyle w:val="Referencafusnote"/>
          <w:rFonts w:cs="Arial"/>
          <w:szCs w:val="24"/>
        </w:rPr>
        <w:footnoteReference w:id="54"/>
      </w:r>
      <w:r w:rsidR="00BE67E5">
        <w:t xml:space="preserve"> počinje teći od dana objave rješenja o otvaranju stečajnog postupka</w:t>
      </w:r>
      <w:r w:rsidR="00292160" w:rsidRPr="00CE6E6A">
        <w:t xml:space="preserve">. </w:t>
      </w:r>
      <w:r w:rsidR="00CE6E6A">
        <w:t xml:space="preserve">Međutim, iako je zakonodavac ostao kod računanja roka za prijavu tražbine </w:t>
      </w:r>
      <w:r w:rsidR="00BE67E5">
        <w:t xml:space="preserve">u stečajnom postupku </w:t>
      </w:r>
      <w:r w:rsidR="00CE6E6A">
        <w:t xml:space="preserve">od dana objave rješenja o otvaranju stečajnog postupka prema prihvaćenom shvaćanju VTS RH </w:t>
      </w:r>
      <w:r w:rsidR="00BE67E5">
        <w:t>r</w:t>
      </w:r>
      <w:r w:rsidR="00CE6E6A">
        <w:t xml:space="preserve">ok od 60 dana </w:t>
      </w:r>
      <w:r w:rsidR="00BE67E5">
        <w:t xml:space="preserve">za prijavu tražbine </w:t>
      </w:r>
      <w:r w:rsidR="00CE6E6A">
        <w:t xml:space="preserve">počinje teći od dana dostave, tj. </w:t>
      </w:r>
      <w:r w:rsidR="00BE67E5">
        <w:t>i</w:t>
      </w:r>
      <w:r w:rsidR="00CE6E6A">
        <w:t>stekom osmog dana od dana ob</w:t>
      </w:r>
      <w:r w:rsidR="0047305C">
        <w:t>jave</w:t>
      </w:r>
      <w:r w:rsidR="00CE6E6A">
        <w:t xml:space="preserve"> rješenja o otvaranju stečajnog postupka.</w:t>
      </w:r>
    </w:p>
    <w:p w:rsidR="00292160" w:rsidRDefault="00292160" w:rsidP="00DE265F">
      <w:pPr>
        <w:ind w:firstLine="705"/>
        <w:jc w:val="both"/>
        <w:rPr>
          <w:rFonts w:ascii="Arial" w:hAnsi="Arial" w:cs="Arial"/>
          <w:b/>
          <w:sz w:val="24"/>
          <w:szCs w:val="24"/>
        </w:rPr>
      </w:pPr>
    </w:p>
    <w:p w:rsidR="00951AD8" w:rsidRDefault="00951AD8" w:rsidP="00DE265F">
      <w:pPr>
        <w:ind w:firstLine="705"/>
        <w:jc w:val="both"/>
        <w:rPr>
          <w:rFonts w:ascii="Arial" w:hAnsi="Arial" w:cs="Arial"/>
          <w:b/>
          <w:sz w:val="24"/>
          <w:szCs w:val="24"/>
        </w:rPr>
      </w:pPr>
    </w:p>
    <w:p w:rsidR="00951AD8" w:rsidRPr="003F70C2" w:rsidRDefault="00951AD8" w:rsidP="00DE265F">
      <w:pPr>
        <w:ind w:firstLine="705"/>
        <w:jc w:val="both"/>
        <w:rPr>
          <w:rFonts w:ascii="Arial" w:hAnsi="Arial" w:cs="Arial"/>
          <w:b/>
          <w:sz w:val="24"/>
          <w:szCs w:val="24"/>
        </w:rPr>
      </w:pPr>
    </w:p>
    <w:p w:rsidR="00763DB4" w:rsidRDefault="00951AD8" w:rsidP="00951AD8">
      <w:pPr>
        <w:pStyle w:val="Naslov2"/>
      </w:pPr>
      <w:bookmarkStart w:id="10" w:name="_Toc507067608"/>
      <w:r>
        <w:t>1</w:t>
      </w:r>
      <w:r w:rsidR="00084C72">
        <w:t>.</w:t>
      </w:r>
      <w:r w:rsidR="00763DB4" w:rsidRPr="003F70C2">
        <w:t>9. Odluke suda i pravni lijekovi</w:t>
      </w:r>
      <w:bookmarkEnd w:id="10"/>
    </w:p>
    <w:p w:rsidR="00951AD8" w:rsidRPr="00951AD8" w:rsidRDefault="00951AD8" w:rsidP="00951AD8"/>
    <w:p w:rsidR="00763DB4" w:rsidRPr="003F70C2" w:rsidRDefault="00763DB4" w:rsidP="00763DB4">
      <w:pPr>
        <w:pStyle w:val="Odlomakpopisa"/>
        <w:ind w:left="0"/>
        <w:jc w:val="both"/>
        <w:rPr>
          <w:rFonts w:ascii="Arial" w:hAnsi="Arial" w:cs="Arial"/>
          <w:sz w:val="24"/>
          <w:szCs w:val="24"/>
        </w:rPr>
      </w:pPr>
      <w:r w:rsidRPr="003F70C2">
        <w:rPr>
          <w:rFonts w:ascii="Arial" w:hAnsi="Arial" w:cs="Arial"/>
          <w:sz w:val="24"/>
          <w:szCs w:val="24"/>
        </w:rPr>
        <w:tab/>
      </w:r>
      <w:r w:rsidR="000314CF" w:rsidRPr="003F70C2">
        <w:rPr>
          <w:rFonts w:ascii="Arial" w:hAnsi="Arial" w:cs="Arial"/>
          <w:sz w:val="24"/>
          <w:szCs w:val="24"/>
        </w:rPr>
        <w:t>U</w:t>
      </w:r>
      <w:r w:rsidRPr="003F70C2">
        <w:rPr>
          <w:rFonts w:ascii="Arial" w:hAnsi="Arial" w:cs="Arial"/>
          <w:sz w:val="24"/>
          <w:szCs w:val="24"/>
        </w:rPr>
        <w:t xml:space="preserve"> </w:t>
      </w:r>
      <w:proofErr w:type="spellStart"/>
      <w:r w:rsidRPr="003F70C2">
        <w:rPr>
          <w:rFonts w:ascii="Arial" w:hAnsi="Arial" w:cs="Arial"/>
          <w:sz w:val="24"/>
          <w:szCs w:val="24"/>
        </w:rPr>
        <w:t>predstečajnom</w:t>
      </w:r>
      <w:proofErr w:type="spellEnd"/>
      <w:r w:rsidRPr="003F70C2">
        <w:rPr>
          <w:rFonts w:ascii="Arial" w:hAnsi="Arial" w:cs="Arial"/>
          <w:sz w:val="24"/>
          <w:szCs w:val="24"/>
        </w:rPr>
        <w:t xml:space="preserve"> postupku sud donosi </w:t>
      </w:r>
      <w:r w:rsidR="000314CF" w:rsidRPr="003F70C2">
        <w:rPr>
          <w:rFonts w:ascii="Arial" w:hAnsi="Arial" w:cs="Arial"/>
          <w:sz w:val="24"/>
          <w:szCs w:val="24"/>
        </w:rPr>
        <w:t xml:space="preserve">odluke </w:t>
      </w:r>
      <w:r w:rsidRPr="003F70C2">
        <w:rPr>
          <w:rFonts w:ascii="Arial" w:hAnsi="Arial" w:cs="Arial"/>
          <w:sz w:val="24"/>
          <w:szCs w:val="24"/>
        </w:rPr>
        <w:t>u obliku rješenja i zaključka</w:t>
      </w:r>
      <w:r w:rsidRPr="003F70C2">
        <w:rPr>
          <w:rStyle w:val="Referencafusnote"/>
          <w:rFonts w:ascii="Arial" w:hAnsi="Arial" w:cs="Arial"/>
          <w:sz w:val="24"/>
          <w:szCs w:val="24"/>
        </w:rPr>
        <w:footnoteReference w:id="55"/>
      </w:r>
      <w:r w:rsidRPr="003F70C2">
        <w:rPr>
          <w:rFonts w:ascii="Arial" w:hAnsi="Arial" w:cs="Arial"/>
          <w:sz w:val="24"/>
          <w:szCs w:val="24"/>
        </w:rPr>
        <w:t xml:space="preserve">. Sud u pravilu odlučuje rješenjem, a zaključkom izdaje nalog službenoj osobi ili tijelu u postupku za obavljanje pojedinih radnji te odlučuje o upravljanju postupkom i o drugim pitanjima ako je to izrijekom određeno zakonom. </w:t>
      </w:r>
    </w:p>
    <w:p w:rsidR="007F4591" w:rsidRPr="003F70C2" w:rsidRDefault="00763DB4" w:rsidP="007F4591">
      <w:pPr>
        <w:autoSpaceDE w:val="0"/>
        <w:autoSpaceDN w:val="0"/>
        <w:adjustRightInd w:val="0"/>
        <w:spacing w:before="120" w:after="120" w:line="240" w:lineRule="auto"/>
        <w:jc w:val="both"/>
        <w:rPr>
          <w:rFonts w:ascii="Arial" w:hAnsi="Arial" w:cs="Arial"/>
          <w:sz w:val="24"/>
          <w:szCs w:val="24"/>
          <w:lang w:val="x-none"/>
        </w:rPr>
      </w:pPr>
      <w:r w:rsidRPr="003F70C2">
        <w:rPr>
          <w:rFonts w:ascii="Arial" w:hAnsi="Arial" w:cs="Arial"/>
          <w:sz w:val="24"/>
          <w:szCs w:val="24"/>
        </w:rPr>
        <w:tab/>
      </w:r>
      <w:r w:rsidRPr="003F70C2">
        <w:rPr>
          <w:rFonts w:ascii="Arial" w:hAnsi="Arial" w:cs="Arial"/>
          <w:sz w:val="24"/>
          <w:szCs w:val="24"/>
          <w:lang w:val="x-none"/>
        </w:rPr>
        <w:t xml:space="preserve">Protiv rješenja donesenoga u prvom stupnju može se izjaviti žalba u roku od osam </w:t>
      </w:r>
      <w:r w:rsidR="00FA6A80">
        <w:rPr>
          <w:rFonts w:ascii="Arial" w:hAnsi="Arial" w:cs="Arial"/>
          <w:sz w:val="24"/>
          <w:szCs w:val="24"/>
          <w:lang w:val="x-none"/>
        </w:rPr>
        <w:t>dana od dostave prvostupanjskog</w:t>
      </w:r>
      <w:r w:rsidRPr="003F70C2">
        <w:rPr>
          <w:rFonts w:ascii="Arial" w:hAnsi="Arial" w:cs="Arial"/>
          <w:sz w:val="24"/>
          <w:szCs w:val="24"/>
          <w:lang w:val="x-none"/>
        </w:rPr>
        <w:t xml:space="preserve"> rješenja, ako </w:t>
      </w:r>
      <w:r w:rsidRPr="003F70C2">
        <w:rPr>
          <w:rFonts w:ascii="Arial" w:hAnsi="Arial" w:cs="Arial"/>
          <w:sz w:val="24"/>
          <w:szCs w:val="24"/>
        </w:rPr>
        <w:t>Z</w:t>
      </w:r>
      <w:proofErr w:type="spellStart"/>
      <w:r w:rsidRPr="003F70C2">
        <w:rPr>
          <w:rFonts w:ascii="Arial" w:hAnsi="Arial" w:cs="Arial"/>
          <w:sz w:val="24"/>
          <w:szCs w:val="24"/>
          <w:lang w:val="x-none"/>
        </w:rPr>
        <w:t>akonom</w:t>
      </w:r>
      <w:proofErr w:type="spellEnd"/>
      <w:r w:rsidRPr="003F70C2">
        <w:rPr>
          <w:rFonts w:ascii="Arial" w:hAnsi="Arial" w:cs="Arial"/>
          <w:sz w:val="24"/>
          <w:szCs w:val="24"/>
          <w:lang w:val="x-none"/>
        </w:rPr>
        <w:t xml:space="preserve"> nije drukčije određeno. Žalba ne odgađa provedbu rješenja, ako Zakonom nije drukčije određeno.</w:t>
      </w:r>
      <w:r w:rsidRPr="003F70C2">
        <w:rPr>
          <w:rFonts w:ascii="Arial" w:hAnsi="Arial" w:cs="Arial"/>
          <w:sz w:val="24"/>
          <w:szCs w:val="24"/>
        </w:rPr>
        <w:t xml:space="preserve"> </w:t>
      </w:r>
      <w:r w:rsidR="007F4591" w:rsidRPr="003F70C2">
        <w:rPr>
          <w:rFonts w:ascii="Arial" w:hAnsi="Arial" w:cs="Arial"/>
          <w:sz w:val="24"/>
          <w:szCs w:val="24"/>
        </w:rPr>
        <w:t>P</w:t>
      </w:r>
      <w:proofErr w:type="spellStart"/>
      <w:r w:rsidRPr="003F70C2">
        <w:rPr>
          <w:rFonts w:ascii="Arial" w:hAnsi="Arial" w:cs="Arial"/>
          <w:sz w:val="24"/>
          <w:szCs w:val="24"/>
          <w:lang w:val="x-none"/>
        </w:rPr>
        <w:t>rvostupanjski</w:t>
      </w:r>
      <w:proofErr w:type="spellEnd"/>
      <w:r w:rsidRPr="003F70C2">
        <w:rPr>
          <w:rFonts w:ascii="Arial" w:hAnsi="Arial" w:cs="Arial"/>
          <w:sz w:val="24"/>
          <w:szCs w:val="24"/>
          <w:lang w:val="x-none"/>
        </w:rPr>
        <w:t xml:space="preserve"> sud će umnožiti dio spisa na koji se žalba odnosi i prijepis toga dijela spisa sa žalbom dostaviti drugostupanjskom sudu.</w:t>
      </w:r>
      <w:r w:rsidR="007F4591" w:rsidRPr="003F70C2">
        <w:rPr>
          <w:rFonts w:ascii="Arial" w:hAnsi="Arial" w:cs="Arial"/>
          <w:sz w:val="24"/>
          <w:szCs w:val="24"/>
          <w:lang w:val="x-none"/>
        </w:rPr>
        <w:t xml:space="preserve"> Dok drugostupanjski sud ne donese odluku, u prvostupanjskom postupku poduzimat će se one radnje koje je moguće poduzimati prije pravomoćnosti pobijanoga rješenja, ako ovim Zakonom nije drukčije određeno</w:t>
      </w:r>
      <w:r w:rsidR="007729B6" w:rsidRPr="003F70C2">
        <w:rPr>
          <w:rStyle w:val="Referencafusnote"/>
          <w:rFonts w:ascii="Arial" w:hAnsi="Arial" w:cs="Arial"/>
          <w:sz w:val="24"/>
          <w:szCs w:val="24"/>
          <w:lang w:val="x-none"/>
        </w:rPr>
        <w:footnoteReference w:id="56"/>
      </w:r>
      <w:r w:rsidR="007F4591" w:rsidRPr="003F70C2">
        <w:rPr>
          <w:rFonts w:ascii="Arial" w:hAnsi="Arial" w:cs="Arial"/>
          <w:sz w:val="24"/>
          <w:szCs w:val="24"/>
          <w:lang w:val="x-none"/>
        </w:rPr>
        <w:t>.</w:t>
      </w:r>
    </w:p>
    <w:p w:rsidR="00763DB4" w:rsidRPr="003F70C2" w:rsidRDefault="00763DB4" w:rsidP="00763DB4">
      <w:pPr>
        <w:autoSpaceDE w:val="0"/>
        <w:autoSpaceDN w:val="0"/>
        <w:adjustRightInd w:val="0"/>
        <w:spacing w:before="120" w:after="120" w:line="240" w:lineRule="auto"/>
        <w:jc w:val="both"/>
        <w:rPr>
          <w:rFonts w:ascii="Arial" w:hAnsi="Arial" w:cs="Arial"/>
          <w:sz w:val="24"/>
          <w:szCs w:val="24"/>
        </w:rPr>
      </w:pPr>
      <w:r w:rsidRPr="003F70C2">
        <w:rPr>
          <w:rFonts w:ascii="Arial" w:hAnsi="Arial" w:cs="Arial"/>
          <w:sz w:val="24"/>
          <w:szCs w:val="24"/>
        </w:rPr>
        <w:tab/>
      </w:r>
      <w:r w:rsidRPr="003F70C2">
        <w:rPr>
          <w:rFonts w:ascii="Arial" w:hAnsi="Arial" w:cs="Arial"/>
          <w:sz w:val="24"/>
          <w:szCs w:val="24"/>
          <w:lang w:val="x-none"/>
        </w:rPr>
        <w:t>Protiv zaključka nije dopušten pravni lijek</w:t>
      </w:r>
      <w:r w:rsidR="007729B6" w:rsidRPr="003F70C2">
        <w:rPr>
          <w:rStyle w:val="Referencafusnote"/>
          <w:rFonts w:ascii="Arial" w:hAnsi="Arial" w:cs="Arial"/>
          <w:sz w:val="24"/>
          <w:szCs w:val="24"/>
          <w:lang w:val="x-none"/>
        </w:rPr>
        <w:footnoteReference w:id="57"/>
      </w:r>
      <w:r w:rsidRPr="003F70C2">
        <w:rPr>
          <w:rFonts w:ascii="Arial" w:hAnsi="Arial" w:cs="Arial"/>
          <w:sz w:val="24"/>
          <w:szCs w:val="24"/>
          <w:lang w:val="x-none"/>
        </w:rPr>
        <w:t>.</w:t>
      </w:r>
    </w:p>
    <w:p w:rsidR="007F4591" w:rsidRPr="003F70C2" w:rsidRDefault="007F4591" w:rsidP="00763DB4">
      <w:pPr>
        <w:autoSpaceDE w:val="0"/>
        <w:autoSpaceDN w:val="0"/>
        <w:adjustRightInd w:val="0"/>
        <w:spacing w:before="120" w:after="120" w:line="240" w:lineRule="auto"/>
        <w:jc w:val="both"/>
        <w:rPr>
          <w:rFonts w:ascii="Arial" w:hAnsi="Arial" w:cs="Arial"/>
          <w:sz w:val="24"/>
          <w:szCs w:val="24"/>
        </w:rPr>
      </w:pPr>
    </w:p>
    <w:p w:rsidR="00DC3718" w:rsidRDefault="00951AD8" w:rsidP="00951AD8">
      <w:pPr>
        <w:pStyle w:val="Naslov2"/>
      </w:pPr>
      <w:bookmarkStart w:id="11" w:name="_Toc507067609"/>
      <w:r>
        <w:t>1</w:t>
      </w:r>
      <w:r w:rsidR="00084C72" w:rsidRPr="00084C72">
        <w:t>.</w:t>
      </w:r>
      <w:r w:rsidR="00864932" w:rsidRPr="003F70C2">
        <w:t xml:space="preserve">10. </w:t>
      </w:r>
      <w:r w:rsidR="00F66981" w:rsidRPr="003F70C2">
        <w:t>Načelo davanja državnih potpora</w:t>
      </w:r>
      <w:bookmarkEnd w:id="11"/>
    </w:p>
    <w:p w:rsidR="00951AD8" w:rsidRPr="00951AD8" w:rsidRDefault="00951AD8" w:rsidP="00951AD8"/>
    <w:p w:rsidR="007874FF" w:rsidRPr="003F70C2" w:rsidRDefault="00247860" w:rsidP="00763DB4">
      <w:pPr>
        <w:autoSpaceDE w:val="0"/>
        <w:autoSpaceDN w:val="0"/>
        <w:adjustRightInd w:val="0"/>
        <w:spacing w:before="120" w:after="120" w:line="240" w:lineRule="auto"/>
        <w:jc w:val="both"/>
        <w:rPr>
          <w:rFonts w:ascii="Arial" w:hAnsi="Arial" w:cs="Arial"/>
          <w:sz w:val="24"/>
          <w:szCs w:val="24"/>
        </w:rPr>
      </w:pPr>
      <w:r w:rsidRPr="003F70C2">
        <w:rPr>
          <w:rFonts w:ascii="Arial" w:hAnsi="Arial" w:cs="Arial"/>
          <w:b/>
          <w:sz w:val="24"/>
          <w:szCs w:val="24"/>
        </w:rPr>
        <w:tab/>
      </w:r>
      <w:r w:rsidRPr="003F70C2">
        <w:rPr>
          <w:rFonts w:ascii="Arial" w:hAnsi="Arial" w:cs="Arial"/>
          <w:sz w:val="24"/>
          <w:szCs w:val="24"/>
        </w:rPr>
        <w:t>Na postupke i mjere o kojima prema Zakonu odlučuju vjerovnici, a kojima se odstupa od skupnoga namirenja vjerovnika unovčenjem dužnikove imovine i podjelom prikupljenih sredstava vjerovnicima</w:t>
      </w:r>
      <w:r w:rsidR="004C28C4">
        <w:rPr>
          <w:rFonts w:ascii="Arial" w:hAnsi="Arial" w:cs="Arial"/>
          <w:sz w:val="24"/>
          <w:szCs w:val="24"/>
        </w:rPr>
        <w:t>,</w:t>
      </w:r>
      <w:r w:rsidRPr="003F70C2">
        <w:rPr>
          <w:rFonts w:ascii="Arial" w:hAnsi="Arial" w:cs="Arial"/>
          <w:sz w:val="24"/>
          <w:szCs w:val="24"/>
        </w:rPr>
        <w:t xml:space="preserve"> na odgovarajući se način primjenjuju propisi kojima se uređuje područje državnih potpora</w:t>
      </w:r>
      <w:r w:rsidR="00F66981" w:rsidRPr="003F70C2">
        <w:rPr>
          <w:rStyle w:val="Referencafusnote"/>
          <w:rFonts w:ascii="Arial" w:hAnsi="Arial" w:cs="Arial"/>
          <w:sz w:val="24"/>
          <w:szCs w:val="24"/>
        </w:rPr>
        <w:footnoteReference w:id="58"/>
      </w:r>
      <w:r w:rsidRPr="003F70C2">
        <w:rPr>
          <w:rFonts w:ascii="Arial" w:hAnsi="Arial" w:cs="Arial"/>
          <w:sz w:val="24"/>
          <w:szCs w:val="24"/>
        </w:rPr>
        <w:t>.</w:t>
      </w:r>
    </w:p>
    <w:p w:rsidR="003341A7" w:rsidRPr="003F70C2" w:rsidRDefault="003341A7" w:rsidP="003341A7">
      <w:pPr>
        <w:spacing w:before="100" w:beforeAutospacing="1" w:after="225" w:line="240" w:lineRule="auto"/>
        <w:jc w:val="both"/>
        <w:rPr>
          <w:rFonts w:ascii="Arial" w:eastAsia="Times New Roman" w:hAnsi="Arial" w:cs="Arial"/>
          <w:color w:val="000000" w:themeColor="text1"/>
          <w:sz w:val="24"/>
          <w:szCs w:val="24"/>
          <w:lang w:eastAsia="hr-HR"/>
        </w:rPr>
      </w:pPr>
      <w:r w:rsidRPr="003F70C2">
        <w:rPr>
          <w:rFonts w:ascii="Arial" w:eastAsia="Times New Roman" w:hAnsi="Arial" w:cs="Arial"/>
          <w:color w:val="666666"/>
          <w:sz w:val="24"/>
          <w:szCs w:val="24"/>
          <w:lang w:eastAsia="hr-HR"/>
        </w:rPr>
        <w:tab/>
      </w:r>
      <w:r w:rsidRPr="003F70C2">
        <w:rPr>
          <w:rFonts w:ascii="Arial" w:eastAsia="Times New Roman" w:hAnsi="Arial" w:cs="Arial"/>
          <w:color w:val="000000" w:themeColor="text1"/>
          <w:sz w:val="24"/>
          <w:szCs w:val="24"/>
          <w:lang w:eastAsia="hr-HR"/>
        </w:rPr>
        <w:t xml:space="preserve">Državna potpora je stvarni i potencijalni rashod ili umanjeni prihod države dodijeljen od davatelja državne potpore u bilo kojem obliku koji narušava ili prijeti narušavanjem tržišnog natjecanja stavljajući u povoljniji položaj određenog poduzetnika ili proizvodnju određene robe i/ili usluge utoliko što utječe na trgovinu između država članica Europske unije, u skladu sa člankom 107. Ugovora o funkcioniranju Europske </w:t>
      </w:r>
      <w:r w:rsidR="00F66981" w:rsidRPr="003F70C2">
        <w:rPr>
          <w:rFonts w:ascii="Arial" w:eastAsia="Times New Roman" w:hAnsi="Arial" w:cs="Arial"/>
          <w:color w:val="000000" w:themeColor="text1"/>
          <w:sz w:val="24"/>
          <w:szCs w:val="24"/>
          <w:lang w:eastAsia="hr-HR"/>
        </w:rPr>
        <w:t>Unije (u daljnjem tekstu: UFEU).</w:t>
      </w:r>
    </w:p>
    <w:p w:rsidR="003341A7" w:rsidRPr="003F70C2" w:rsidRDefault="003341A7" w:rsidP="003341A7">
      <w:pPr>
        <w:spacing w:before="100" w:beforeAutospacing="1" w:after="225" w:line="240" w:lineRule="auto"/>
        <w:jc w:val="both"/>
        <w:rPr>
          <w:rFonts w:ascii="Arial" w:eastAsia="Times New Roman" w:hAnsi="Arial" w:cs="Arial"/>
          <w:color w:val="000000" w:themeColor="text1"/>
          <w:sz w:val="24"/>
          <w:szCs w:val="24"/>
          <w:lang w:eastAsia="hr-HR"/>
        </w:rPr>
      </w:pPr>
      <w:r w:rsidRPr="003F70C2">
        <w:rPr>
          <w:rFonts w:ascii="Arial" w:eastAsia="Times New Roman" w:hAnsi="Arial" w:cs="Arial"/>
          <w:color w:val="000000" w:themeColor="text1"/>
          <w:sz w:val="24"/>
          <w:szCs w:val="24"/>
          <w:lang w:eastAsia="hr-HR"/>
        </w:rPr>
        <w:tab/>
        <w:t>Program državne potpore je akt na temelju kojeg se, bez potrebe za dodatnim provedbenim mjerama, unaprijed neodređenim korisnicima državne potpore dodjeljuju državne potpore kao i akt na temelju kojeg se državna potpora koja unaprijed nije vezana za poseban projekt dodjeljuje jednom ili više korisnika državne potpore na neodređeno vrijeme i/ili u neodređenom iznosu,</w:t>
      </w:r>
    </w:p>
    <w:p w:rsidR="003341A7" w:rsidRPr="003F70C2" w:rsidRDefault="003341A7" w:rsidP="003341A7">
      <w:pPr>
        <w:spacing w:before="100" w:beforeAutospacing="1" w:line="240" w:lineRule="auto"/>
        <w:jc w:val="both"/>
        <w:rPr>
          <w:rFonts w:ascii="Arial" w:eastAsia="Times New Roman" w:hAnsi="Arial" w:cs="Arial"/>
          <w:color w:val="000000" w:themeColor="text1"/>
          <w:sz w:val="24"/>
          <w:szCs w:val="24"/>
          <w:lang w:eastAsia="hr-HR"/>
        </w:rPr>
      </w:pPr>
      <w:r w:rsidRPr="003F70C2">
        <w:rPr>
          <w:rFonts w:ascii="Arial" w:eastAsia="Times New Roman" w:hAnsi="Arial" w:cs="Arial"/>
          <w:color w:val="000000" w:themeColor="text1"/>
          <w:sz w:val="24"/>
          <w:szCs w:val="24"/>
          <w:lang w:eastAsia="hr-HR"/>
        </w:rPr>
        <w:tab/>
        <w:t>Pojedinačna državna potpora je državna potpora koja nije dodijeljena na temelju programa državne potpore.</w:t>
      </w:r>
    </w:p>
    <w:p w:rsidR="003341A7" w:rsidRDefault="003341A7" w:rsidP="003341A7">
      <w:pPr>
        <w:autoSpaceDE w:val="0"/>
        <w:autoSpaceDN w:val="0"/>
        <w:adjustRightInd w:val="0"/>
        <w:spacing w:before="120" w:after="120" w:line="240" w:lineRule="auto"/>
        <w:jc w:val="both"/>
        <w:rPr>
          <w:rFonts w:ascii="Arial" w:hAnsi="Arial" w:cs="Arial"/>
          <w:sz w:val="24"/>
          <w:szCs w:val="24"/>
        </w:rPr>
      </w:pPr>
    </w:p>
    <w:p w:rsidR="00281FC4" w:rsidRPr="003F70C2" w:rsidRDefault="00281FC4" w:rsidP="003341A7">
      <w:pPr>
        <w:autoSpaceDE w:val="0"/>
        <w:autoSpaceDN w:val="0"/>
        <w:adjustRightInd w:val="0"/>
        <w:spacing w:before="120" w:after="120" w:line="240" w:lineRule="auto"/>
        <w:jc w:val="both"/>
        <w:rPr>
          <w:rFonts w:ascii="Arial" w:hAnsi="Arial" w:cs="Arial"/>
          <w:sz w:val="24"/>
          <w:szCs w:val="24"/>
        </w:rPr>
      </w:pPr>
    </w:p>
    <w:p w:rsidR="00FC4B48" w:rsidRDefault="00951AD8" w:rsidP="00951AD8">
      <w:pPr>
        <w:pStyle w:val="Naslov2"/>
      </w:pPr>
      <w:bookmarkStart w:id="12" w:name="_Toc507067610"/>
      <w:r>
        <w:lastRenderedPageBreak/>
        <w:t>1</w:t>
      </w:r>
      <w:r w:rsidR="00084C72">
        <w:t>.</w:t>
      </w:r>
      <w:r w:rsidR="00763DB4" w:rsidRPr="003F70C2">
        <w:t>1</w:t>
      </w:r>
      <w:r w:rsidR="001C4768" w:rsidRPr="003F70C2">
        <w:t>1</w:t>
      </w:r>
      <w:r w:rsidR="00772605" w:rsidRPr="003F70C2">
        <w:t xml:space="preserve">. </w:t>
      </w:r>
      <w:r w:rsidR="00FC4B48" w:rsidRPr="003F70C2">
        <w:t>Troškovi postupka</w:t>
      </w:r>
      <w:bookmarkEnd w:id="12"/>
    </w:p>
    <w:p w:rsidR="00951AD8" w:rsidRPr="00951AD8" w:rsidRDefault="00951AD8" w:rsidP="00951AD8"/>
    <w:p w:rsidR="008B62AB" w:rsidRDefault="00FC4B48" w:rsidP="0047305C">
      <w:pPr>
        <w:pStyle w:val="Bezproreda"/>
        <w:ind w:firstLine="705"/>
        <w:jc w:val="both"/>
      </w:pPr>
      <w:r w:rsidRPr="003F70C2">
        <w:rPr>
          <w:lang w:val="x-none"/>
        </w:rPr>
        <w:t xml:space="preserve">U </w:t>
      </w:r>
      <w:proofErr w:type="spellStart"/>
      <w:r w:rsidRPr="003F70C2">
        <w:rPr>
          <w:lang w:val="x-none"/>
        </w:rPr>
        <w:t>predstečajnom</w:t>
      </w:r>
      <w:proofErr w:type="spellEnd"/>
      <w:r w:rsidRPr="003F70C2">
        <w:rPr>
          <w:lang w:val="x-none"/>
        </w:rPr>
        <w:t xml:space="preserve"> postupku svaki vjerovnik snosi svoje troškove postupka, ako ovim Zakonom nije drukčije određeno</w:t>
      </w:r>
      <w:r w:rsidR="00DC3718" w:rsidRPr="003F70C2">
        <w:rPr>
          <w:rStyle w:val="Referencafusnote"/>
          <w:rFonts w:cs="Arial"/>
          <w:szCs w:val="24"/>
          <w:lang w:val="x-none"/>
        </w:rPr>
        <w:footnoteReference w:id="59"/>
      </w:r>
      <w:r w:rsidRPr="003F70C2">
        <w:rPr>
          <w:lang w:val="x-none"/>
        </w:rPr>
        <w:t>.</w:t>
      </w:r>
      <w:r w:rsidR="007C4225">
        <w:t xml:space="preserve"> </w:t>
      </w:r>
      <w:r w:rsidR="00530D49">
        <w:t>P</w:t>
      </w:r>
      <w:r w:rsidR="000752CB">
        <w:t xml:space="preserve">redlagatelj koji je povukao prijedlog za otvaranje </w:t>
      </w:r>
      <w:proofErr w:type="spellStart"/>
      <w:r w:rsidR="000752CB">
        <w:t>predstečajnog</w:t>
      </w:r>
      <w:proofErr w:type="spellEnd"/>
      <w:r w:rsidR="000752CB">
        <w:t xml:space="preserve"> postupka snosi nastale troškove postupka.</w:t>
      </w:r>
    </w:p>
    <w:p w:rsidR="007C4225" w:rsidRPr="003F70C2" w:rsidRDefault="007C4225" w:rsidP="00CC5B6A">
      <w:pPr>
        <w:ind w:firstLine="705"/>
        <w:jc w:val="both"/>
        <w:rPr>
          <w:rFonts w:ascii="Arial" w:hAnsi="Arial" w:cs="Arial"/>
          <w:sz w:val="24"/>
          <w:szCs w:val="24"/>
        </w:rPr>
      </w:pPr>
    </w:p>
    <w:p w:rsidR="008B62AB" w:rsidRPr="00951AD8" w:rsidRDefault="00951AD8" w:rsidP="00951AD8">
      <w:pPr>
        <w:pStyle w:val="Naslov1"/>
      </w:pPr>
      <w:bookmarkStart w:id="13" w:name="_Toc507067611"/>
      <w:r>
        <w:t xml:space="preserve">2. </w:t>
      </w:r>
      <w:r w:rsidR="004C28C4" w:rsidRPr="00951AD8">
        <w:t>TIJELA PREDSTEČAJNOG POSTUPKA</w:t>
      </w:r>
      <w:bookmarkEnd w:id="13"/>
    </w:p>
    <w:p w:rsidR="002F4EB1" w:rsidRPr="004C28C4" w:rsidRDefault="002F4EB1" w:rsidP="00AA16F6">
      <w:pPr>
        <w:pStyle w:val="Odlomakpopisa"/>
        <w:ind w:left="0"/>
        <w:jc w:val="both"/>
        <w:rPr>
          <w:rFonts w:ascii="Arial" w:hAnsi="Arial" w:cs="Arial"/>
          <w:b/>
          <w:sz w:val="24"/>
          <w:szCs w:val="24"/>
        </w:rPr>
      </w:pPr>
    </w:p>
    <w:p w:rsidR="00D0272A" w:rsidRPr="004C28C4" w:rsidRDefault="00AA16F6" w:rsidP="002C4707">
      <w:pPr>
        <w:pStyle w:val="Bezproreda"/>
        <w:jc w:val="both"/>
      </w:pPr>
      <w:r w:rsidRPr="004C28C4">
        <w:tab/>
      </w:r>
      <w:r w:rsidR="00FE533A" w:rsidRPr="004C28C4">
        <w:t>Tijela</w:t>
      </w:r>
      <w:r w:rsidR="00F3237F" w:rsidRPr="004C28C4">
        <w:t xml:space="preserve"> </w:t>
      </w:r>
      <w:proofErr w:type="spellStart"/>
      <w:r w:rsidR="000F7264" w:rsidRPr="004C28C4">
        <w:t>predstečajnoga</w:t>
      </w:r>
      <w:proofErr w:type="spellEnd"/>
      <w:r w:rsidR="000F7264" w:rsidRPr="004C28C4">
        <w:t xml:space="preserve"> </w:t>
      </w:r>
      <w:r w:rsidR="004C45CB" w:rsidRPr="004C28C4">
        <w:t xml:space="preserve">postupka su: sud </w:t>
      </w:r>
      <w:r w:rsidR="00FE533A" w:rsidRPr="004C28C4">
        <w:t>i</w:t>
      </w:r>
      <w:r w:rsidR="004C45CB" w:rsidRPr="004C28C4">
        <w:t xml:space="preserve"> povjerenik</w:t>
      </w:r>
      <w:r w:rsidR="00FE533A" w:rsidRPr="004C28C4">
        <w:rPr>
          <w:rStyle w:val="Referencafusnote"/>
          <w:rFonts w:cs="Arial"/>
          <w:szCs w:val="24"/>
        </w:rPr>
        <w:footnoteReference w:id="60"/>
      </w:r>
      <w:r w:rsidR="00FE533A" w:rsidRPr="004C28C4">
        <w:t>.</w:t>
      </w:r>
      <w:r w:rsidR="004C45CB" w:rsidRPr="004C28C4">
        <w:t xml:space="preserve"> </w:t>
      </w:r>
    </w:p>
    <w:p w:rsidR="002C4707" w:rsidRDefault="002C4707" w:rsidP="002C4707">
      <w:pPr>
        <w:pStyle w:val="Bezproreda"/>
        <w:ind w:firstLine="708"/>
        <w:jc w:val="both"/>
      </w:pPr>
    </w:p>
    <w:p w:rsidR="00B72E9A" w:rsidRDefault="00D0272A" w:rsidP="002C4707">
      <w:pPr>
        <w:pStyle w:val="Bezproreda"/>
        <w:ind w:firstLine="708"/>
        <w:jc w:val="both"/>
      </w:pPr>
      <w:r w:rsidRPr="004C28C4">
        <w:t>P</w:t>
      </w:r>
      <w:r w:rsidR="00B72E9A" w:rsidRPr="004C28C4">
        <w:t xml:space="preserve">ovjerenik je fakultativno tijelo </w:t>
      </w:r>
      <w:proofErr w:type="spellStart"/>
      <w:r w:rsidR="00B72E9A" w:rsidRPr="004C28C4">
        <w:t>predstečajnog</w:t>
      </w:r>
      <w:proofErr w:type="spellEnd"/>
      <w:r w:rsidR="00B72E9A" w:rsidRPr="004C28C4">
        <w:t xml:space="preserve"> postupka</w:t>
      </w:r>
      <w:r w:rsidR="001D633E" w:rsidRPr="004C28C4">
        <w:t xml:space="preserve"> koje imenuje sud </w:t>
      </w:r>
      <w:proofErr w:type="spellStart"/>
      <w:r w:rsidR="001D633E" w:rsidRPr="004C28C4">
        <w:t>r</w:t>
      </w:r>
      <w:r w:rsidRPr="004C28C4">
        <w:t>ješe</w:t>
      </w:r>
      <w:proofErr w:type="spellEnd"/>
      <w:r w:rsidR="00B72E9A" w:rsidRPr="004C28C4">
        <w:rPr>
          <w:lang w:val="x-none"/>
        </w:rPr>
        <w:t xml:space="preserve">njem </w:t>
      </w:r>
      <w:r w:rsidRPr="004C28C4">
        <w:t xml:space="preserve">o otvaranju </w:t>
      </w:r>
      <w:proofErr w:type="spellStart"/>
      <w:r w:rsidRPr="004C28C4">
        <w:t>predstečajnog</w:t>
      </w:r>
      <w:proofErr w:type="spellEnd"/>
      <w:r w:rsidRPr="004C28C4">
        <w:t xml:space="preserve"> postupka</w:t>
      </w:r>
      <w:r w:rsidR="00B72E9A" w:rsidRPr="004C28C4">
        <w:rPr>
          <w:lang w:val="x-none"/>
        </w:rPr>
        <w:t>, ako imenovanje povjerenika smatra potrebnim</w:t>
      </w:r>
      <w:r w:rsidRPr="004C28C4">
        <w:rPr>
          <w:rStyle w:val="Referencafusnote"/>
          <w:rFonts w:cs="Arial"/>
          <w:szCs w:val="24"/>
          <w:lang w:val="x-none"/>
        </w:rPr>
        <w:footnoteReference w:id="61"/>
      </w:r>
      <w:r w:rsidR="00B72E9A" w:rsidRPr="004C28C4">
        <w:rPr>
          <w:lang w:val="x-none"/>
        </w:rPr>
        <w:t>.</w:t>
      </w:r>
      <w:r w:rsidR="00B72E9A" w:rsidRPr="004C28C4">
        <w:t xml:space="preserve"> </w:t>
      </w:r>
    </w:p>
    <w:p w:rsidR="002C4707" w:rsidRPr="004C28C4" w:rsidRDefault="002C4707" w:rsidP="002C4707">
      <w:pPr>
        <w:pStyle w:val="Bezproreda"/>
        <w:ind w:firstLine="708"/>
        <w:jc w:val="both"/>
      </w:pPr>
    </w:p>
    <w:p w:rsidR="007C4225" w:rsidRDefault="007C4225" w:rsidP="002C4707">
      <w:pPr>
        <w:pStyle w:val="Bezproreda"/>
        <w:ind w:firstLine="708"/>
        <w:jc w:val="both"/>
      </w:pPr>
      <w:r>
        <w:t xml:space="preserve">Za razliku od stečajnog postupka u </w:t>
      </w:r>
      <w:proofErr w:type="spellStart"/>
      <w:r>
        <w:t>predstečajnom</w:t>
      </w:r>
      <w:proofErr w:type="spellEnd"/>
      <w:r>
        <w:t xml:space="preserve"> postupku nema skupštine v</w:t>
      </w:r>
      <w:r w:rsidR="000D253F">
        <w:t xml:space="preserve">jerovnika ni odbora vjerovnika </w:t>
      </w:r>
      <w:r w:rsidR="000426AB">
        <w:t>pa ne mo</w:t>
      </w:r>
      <w:r w:rsidR="00C319FF">
        <w:t>gu</w:t>
      </w:r>
      <w:r w:rsidR="000426AB">
        <w:t xml:space="preserve"> donositi odluke koje su inače u ovlasti skupštine vjerovnika </w:t>
      </w:r>
      <w:r w:rsidR="00C319FF">
        <w:t xml:space="preserve">i odbora vjerovnika </w:t>
      </w:r>
      <w:r w:rsidR="000426AB">
        <w:t>u stečajnom postupku</w:t>
      </w:r>
      <w:r w:rsidR="000426AB">
        <w:rPr>
          <w:rStyle w:val="Referencafusnote"/>
          <w:rFonts w:cs="Arial"/>
        </w:rPr>
        <w:footnoteReference w:id="62"/>
      </w:r>
      <w:r w:rsidR="000426AB">
        <w:t>.</w:t>
      </w:r>
    </w:p>
    <w:p w:rsidR="002C4707" w:rsidRDefault="002C4707" w:rsidP="002C4707">
      <w:pPr>
        <w:pStyle w:val="Bezproreda"/>
        <w:ind w:firstLine="708"/>
        <w:jc w:val="both"/>
      </w:pPr>
    </w:p>
    <w:p w:rsidR="002C4707" w:rsidRDefault="002B7AF3" w:rsidP="002C4707">
      <w:pPr>
        <w:pStyle w:val="Bezproreda"/>
        <w:ind w:firstLine="708"/>
        <w:jc w:val="both"/>
      </w:pPr>
      <w:r w:rsidRPr="004C28C4">
        <w:t xml:space="preserve">FINA nije tijelo </w:t>
      </w:r>
      <w:proofErr w:type="spellStart"/>
      <w:r w:rsidRPr="004C28C4">
        <w:t>predstečajnog</w:t>
      </w:r>
      <w:proofErr w:type="spellEnd"/>
      <w:r w:rsidRPr="004C28C4">
        <w:t xml:space="preserve"> postupka, ali ima određene ovlasti u tijeku </w:t>
      </w:r>
      <w:proofErr w:type="spellStart"/>
      <w:r w:rsidRPr="004C28C4">
        <w:t>predstečajnog</w:t>
      </w:r>
      <w:proofErr w:type="spellEnd"/>
      <w:r w:rsidRPr="004C28C4">
        <w:t xml:space="preserve"> postupka. FINA prikuplja prijave vjerovnika i očitovanja o prijavljenim tražbinama; sastavlja tablicu prijavljenih tražbina i tablicu osporenih tražbina; sastavlja dopunu tablica te ima druge obveze utvrđene zakonom.</w:t>
      </w:r>
    </w:p>
    <w:p w:rsidR="002B7AF3" w:rsidRDefault="002B7AF3" w:rsidP="002C4707">
      <w:pPr>
        <w:pStyle w:val="Bezproreda"/>
        <w:ind w:firstLine="708"/>
        <w:jc w:val="both"/>
      </w:pPr>
      <w:r w:rsidRPr="00011A25">
        <w:t xml:space="preserve"> </w:t>
      </w:r>
    </w:p>
    <w:p w:rsidR="002B7AF3" w:rsidRDefault="002B7AF3" w:rsidP="0062700F">
      <w:pPr>
        <w:pStyle w:val="Bezproreda"/>
        <w:ind w:firstLine="708"/>
        <w:jc w:val="both"/>
      </w:pPr>
      <w:r w:rsidRPr="00011A25">
        <w:rPr>
          <w:lang w:eastAsia="en-US"/>
        </w:rPr>
        <w:t xml:space="preserve">Za radnje u </w:t>
      </w:r>
      <w:proofErr w:type="spellStart"/>
      <w:r w:rsidRPr="00011A25">
        <w:rPr>
          <w:lang w:eastAsia="en-US"/>
        </w:rPr>
        <w:t>predstečajnom</w:t>
      </w:r>
      <w:proofErr w:type="spellEnd"/>
      <w:r w:rsidRPr="00011A25">
        <w:rPr>
          <w:lang w:eastAsia="en-US"/>
        </w:rPr>
        <w:t xml:space="preserve"> postupku propisane ovim Zakonom</w:t>
      </w:r>
      <w:r w:rsidR="00BF388F">
        <w:rPr>
          <w:lang w:eastAsia="en-US"/>
        </w:rPr>
        <w:t>,</w:t>
      </w:r>
      <w:r w:rsidRPr="00011A25">
        <w:rPr>
          <w:lang w:eastAsia="en-US"/>
        </w:rPr>
        <w:t xml:space="preserve"> koje je dužna poduzeti F</w:t>
      </w:r>
      <w:r>
        <w:rPr>
          <w:lang w:eastAsia="en-US"/>
        </w:rPr>
        <w:t>INA</w:t>
      </w:r>
      <w:r w:rsidR="00BF388F">
        <w:rPr>
          <w:lang w:eastAsia="en-US"/>
        </w:rPr>
        <w:t>,</w:t>
      </w:r>
      <w:r w:rsidRPr="00011A25">
        <w:rPr>
          <w:lang w:eastAsia="en-US"/>
        </w:rPr>
        <w:t xml:space="preserve"> nadležne su jedinice F</w:t>
      </w:r>
      <w:r>
        <w:rPr>
          <w:lang w:eastAsia="en-US"/>
        </w:rPr>
        <w:t>INA-e.</w:t>
      </w:r>
      <w:r w:rsidRPr="00011A25">
        <w:t xml:space="preserve"> Popis jedinica F</w:t>
      </w:r>
      <w:r>
        <w:t>INA-e</w:t>
      </w:r>
      <w:r w:rsidRPr="00011A25">
        <w:t xml:space="preserve"> i područja njihove nadležnosti propisa</w:t>
      </w:r>
      <w:r w:rsidR="0062700F">
        <w:t>n je P</w:t>
      </w:r>
      <w:r w:rsidRPr="00011A25">
        <w:t>ravilnikom minist</w:t>
      </w:r>
      <w:r w:rsidR="0062700F">
        <w:t>ra</w:t>
      </w:r>
      <w:r w:rsidRPr="00011A25">
        <w:t xml:space="preserve"> nadlež</w:t>
      </w:r>
      <w:r w:rsidR="0062700F">
        <w:t>nog</w:t>
      </w:r>
      <w:r w:rsidRPr="00011A25">
        <w:t xml:space="preserve"> za poslove pravosuđa.</w:t>
      </w:r>
      <w:r w:rsidR="000D253F">
        <w:rPr>
          <w:rStyle w:val="Referencafusnote"/>
          <w:rFonts w:cs="Arial"/>
        </w:rPr>
        <w:footnoteReference w:id="63"/>
      </w:r>
      <w:r>
        <w:t xml:space="preserve"> </w:t>
      </w:r>
      <w:r w:rsidR="0062700F">
        <w:t xml:space="preserve">Prema Pravilniku četiri jedinice FINA-e su nadležne za prijam i otpremu pismena nadležnim tijelima u </w:t>
      </w:r>
      <w:proofErr w:type="spellStart"/>
      <w:r w:rsidR="0062700F">
        <w:t>predstečajnom</w:t>
      </w:r>
      <w:proofErr w:type="spellEnd"/>
      <w:r w:rsidR="0062700F">
        <w:t xml:space="preserve"> postupku (Zagreb, Rijeka, Osijek i Split). </w:t>
      </w:r>
      <w:r w:rsidRPr="00011A25">
        <w:t>F</w:t>
      </w:r>
      <w:r>
        <w:t>INA</w:t>
      </w:r>
      <w:r w:rsidRPr="00011A25">
        <w:t xml:space="preserve"> ima pravo na naknadu stvarnih troškova. Vrst</w:t>
      </w:r>
      <w:r w:rsidR="00BF388F">
        <w:t>a</w:t>
      </w:r>
      <w:r w:rsidRPr="00011A25">
        <w:t xml:space="preserve"> i visin</w:t>
      </w:r>
      <w:r w:rsidR="00BF388F">
        <w:t>a</w:t>
      </w:r>
      <w:r w:rsidRPr="00011A25">
        <w:t xml:space="preserve"> naknade troškova propisa</w:t>
      </w:r>
      <w:r w:rsidR="00BF388F">
        <w:t>ni su P</w:t>
      </w:r>
      <w:r w:rsidRPr="00011A25">
        <w:t>ravilnikom minist</w:t>
      </w:r>
      <w:r w:rsidR="00BF388F">
        <w:t>ra nadlež</w:t>
      </w:r>
      <w:r w:rsidRPr="00011A25">
        <w:t>n</w:t>
      </w:r>
      <w:r w:rsidR="00BF388F">
        <w:t>og</w:t>
      </w:r>
      <w:r w:rsidRPr="00011A25">
        <w:t xml:space="preserve"> za poslove pravosuđa.</w:t>
      </w:r>
      <w:r w:rsidR="000D253F">
        <w:rPr>
          <w:rStyle w:val="Referencafusnote"/>
          <w:rFonts w:cs="Arial"/>
        </w:rPr>
        <w:footnoteReference w:id="64"/>
      </w:r>
      <w:r w:rsidRPr="00011A25">
        <w:t xml:space="preserve"> Naknada stvarnih troškova iz stavka 3. članka </w:t>
      </w:r>
      <w:r>
        <w:t xml:space="preserve">44. SZ-a </w:t>
      </w:r>
      <w:r w:rsidRPr="00011A25">
        <w:t xml:space="preserve">isplatit će se iz sredstava predujma iz članka 28. stavka 1. </w:t>
      </w:r>
      <w:r>
        <w:t>SZ-a.</w:t>
      </w:r>
      <w:r>
        <w:rPr>
          <w:rStyle w:val="Referencafusnote"/>
          <w:rFonts w:cs="Arial"/>
        </w:rPr>
        <w:footnoteReference w:id="65"/>
      </w:r>
    </w:p>
    <w:p w:rsidR="002C4707" w:rsidRPr="00011A25" w:rsidRDefault="002C4707" w:rsidP="002C4707">
      <w:pPr>
        <w:pStyle w:val="Bezproreda"/>
        <w:ind w:firstLine="708"/>
        <w:jc w:val="both"/>
      </w:pPr>
    </w:p>
    <w:p w:rsidR="002B7AF3" w:rsidRDefault="002B7AF3" w:rsidP="002C4707">
      <w:pPr>
        <w:pStyle w:val="Bezproreda"/>
        <w:ind w:firstLine="708"/>
        <w:jc w:val="both"/>
      </w:pPr>
      <w:r w:rsidRPr="005938B9">
        <w:t>Rad FINA-e nadzire sud. Sud je ovlašten u svako doba dati upute i zatražiti obavijesti ili izvješća o poduzimanju radnji u postupku</w:t>
      </w:r>
      <w:r w:rsidRPr="005938B9">
        <w:rPr>
          <w:rStyle w:val="Referencafusnote"/>
          <w:rFonts w:cs="Arial"/>
          <w:szCs w:val="24"/>
          <w:lang w:val="x-none"/>
        </w:rPr>
        <w:footnoteReference w:id="66"/>
      </w:r>
      <w:r w:rsidRPr="005938B9">
        <w:t>.</w:t>
      </w:r>
    </w:p>
    <w:p w:rsidR="002B7AF3" w:rsidRPr="005938B9" w:rsidRDefault="002B7AF3" w:rsidP="002C4707">
      <w:pPr>
        <w:pStyle w:val="Bezproreda"/>
        <w:jc w:val="both"/>
      </w:pPr>
    </w:p>
    <w:p w:rsidR="002B7AF3" w:rsidRPr="005938B9" w:rsidRDefault="002B7AF3" w:rsidP="002C4707">
      <w:pPr>
        <w:pStyle w:val="Bezproreda"/>
        <w:jc w:val="both"/>
      </w:pPr>
      <w:r w:rsidRPr="005938B9">
        <w:tab/>
        <w:t>Ako Financijska agencija ne poduzima radnje u postupku u skladu s odredbama Zakona, sud je može kazniti novčanom kaznom do 50.000,00 kuna</w:t>
      </w:r>
      <w:r w:rsidRPr="005938B9">
        <w:rPr>
          <w:rStyle w:val="Referencafusnote"/>
          <w:rFonts w:cs="Arial"/>
          <w:szCs w:val="24"/>
          <w:lang w:val="x-none"/>
        </w:rPr>
        <w:footnoteReference w:id="67"/>
      </w:r>
      <w:r w:rsidRPr="005938B9">
        <w:t>.</w:t>
      </w:r>
    </w:p>
    <w:p w:rsidR="002B7AF3" w:rsidRDefault="002B7AF3" w:rsidP="002C4707">
      <w:pPr>
        <w:pStyle w:val="Bezproreda"/>
        <w:jc w:val="both"/>
        <w:rPr>
          <w:b/>
        </w:rPr>
      </w:pPr>
    </w:p>
    <w:p w:rsidR="004E7209" w:rsidRDefault="00951AD8" w:rsidP="00951AD8">
      <w:pPr>
        <w:pStyle w:val="Naslov2"/>
      </w:pPr>
      <w:bookmarkStart w:id="14" w:name="_Toc507067612"/>
      <w:r>
        <w:lastRenderedPageBreak/>
        <w:t>2</w:t>
      </w:r>
      <w:r w:rsidR="00DE609E" w:rsidRPr="004C28C4">
        <w:t>.</w:t>
      </w:r>
      <w:r w:rsidR="00084C72">
        <w:t>1.</w:t>
      </w:r>
      <w:r w:rsidR="00772605" w:rsidRPr="004C28C4">
        <w:t xml:space="preserve"> </w:t>
      </w:r>
      <w:r w:rsidR="004E7209" w:rsidRPr="004C28C4">
        <w:t>Ovlasti suda</w:t>
      </w:r>
      <w:bookmarkEnd w:id="14"/>
    </w:p>
    <w:p w:rsidR="00951AD8" w:rsidRPr="00951AD8" w:rsidRDefault="00951AD8" w:rsidP="00951AD8"/>
    <w:p w:rsidR="004E7209" w:rsidRPr="004C28C4" w:rsidRDefault="0062700F" w:rsidP="004E7209">
      <w:pPr>
        <w:pStyle w:val="Odlomakpopisa"/>
        <w:ind w:left="705"/>
        <w:jc w:val="both"/>
        <w:rPr>
          <w:rFonts w:ascii="Arial" w:hAnsi="Arial" w:cs="Arial"/>
          <w:sz w:val="24"/>
          <w:szCs w:val="24"/>
        </w:rPr>
      </w:pPr>
      <w:r>
        <w:rPr>
          <w:rFonts w:ascii="Arial" w:hAnsi="Arial" w:cs="Arial"/>
          <w:sz w:val="24"/>
          <w:szCs w:val="24"/>
        </w:rPr>
        <w:t xml:space="preserve">Sud u </w:t>
      </w:r>
      <w:proofErr w:type="spellStart"/>
      <w:r>
        <w:rPr>
          <w:rFonts w:ascii="Arial" w:hAnsi="Arial" w:cs="Arial"/>
          <w:sz w:val="24"/>
          <w:szCs w:val="24"/>
        </w:rPr>
        <w:t>predstečajnom</w:t>
      </w:r>
      <w:proofErr w:type="spellEnd"/>
      <w:r>
        <w:rPr>
          <w:rFonts w:ascii="Arial" w:hAnsi="Arial" w:cs="Arial"/>
          <w:sz w:val="24"/>
          <w:szCs w:val="24"/>
        </w:rPr>
        <w:t xml:space="preserve"> postupku</w:t>
      </w:r>
    </w:p>
    <w:p w:rsidR="004E7209" w:rsidRPr="004C28C4" w:rsidRDefault="004E7209" w:rsidP="006674D6">
      <w:pPr>
        <w:pStyle w:val="Odlomakpopisa"/>
        <w:numPr>
          <w:ilvl w:val="0"/>
          <w:numId w:val="2"/>
        </w:numPr>
        <w:jc w:val="both"/>
        <w:rPr>
          <w:rFonts w:ascii="Arial" w:hAnsi="Arial" w:cs="Arial"/>
          <w:sz w:val="24"/>
          <w:szCs w:val="24"/>
        </w:rPr>
      </w:pPr>
      <w:r w:rsidRPr="004C28C4">
        <w:rPr>
          <w:rFonts w:ascii="Arial" w:hAnsi="Arial" w:cs="Arial"/>
          <w:sz w:val="24"/>
          <w:szCs w:val="24"/>
        </w:rPr>
        <w:t xml:space="preserve">odlučuje o otvaranju </w:t>
      </w:r>
      <w:proofErr w:type="spellStart"/>
      <w:r w:rsidRPr="004C28C4">
        <w:rPr>
          <w:rFonts w:ascii="Arial" w:hAnsi="Arial" w:cs="Arial"/>
          <w:sz w:val="24"/>
          <w:szCs w:val="24"/>
        </w:rPr>
        <w:t>predstečajnog</w:t>
      </w:r>
      <w:proofErr w:type="spellEnd"/>
      <w:r w:rsidRPr="004C28C4">
        <w:rPr>
          <w:rFonts w:ascii="Arial" w:hAnsi="Arial" w:cs="Arial"/>
          <w:sz w:val="24"/>
          <w:szCs w:val="24"/>
        </w:rPr>
        <w:t xml:space="preserve"> postupka,</w:t>
      </w:r>
    </w:p>
    <w:p w:rsidR="004E7209" w:rsidRPr="004C28C4" w:rsidRDefault="004E7209" w:rsidP="006674D6">
      <w:pPr>
        <w:pStyle w:val="Odlomakpopisa"/>
        <w:numPr>
          <w:ilvl w:val="0"/>
          <w:numId w:val="2"/>
        </w:numPr>
        <w:jc w:val="both"/>
        <w:rPr>
          <w:rFonts w:ascii="Arial" w:hAnsi="Arial" w:cs="Arial"/>
          <w:sz w:val="24"/>
          <w:szCs w:val="24"/>
        </w:rPr>
      </w:pPr>
      <w:r w:rsidRPr="004C28C4">
        <w:rPr>
          <w:rFonts w:ascii="Arial" w:hAnsi="Arial" w:cs="Arial"/>
          <w:sz w:val="24"/>
          <w:szCs w:val="24"/>
        </w:rPr>
        <w:t>imenuje i razrješava povjerenika i nadzire njegov rad,</w:t>
      </w:r>
    </w:p>
    <w:p w:rsidR="004E7209" w:rsidRPr="004C28C4" w:rsidRDefault="004E7209" w:rsidP="006674D6">
      <w:pPr>
        <w:pStyle w:val="Odlomakpopisa"/>
        <w:numPr>
          <w:ilvl w:val="0"/>
          <w:numId w:val="2"/>
        </w:numPr>
        <w:jc w:val="both"/>
        <w:rPr>
          <w:rFonts w:ascii="Arial" w:hAnsi="Arial" w:cs="Arial"/>
          <w:sz w:val="24"/>
          <w:szCs w:val="24"/>
        </w:rPr>
      </w:pPr>
      <w:r w:rsidRPr="004C28C4">
        <w:rPr>
          <w:rFonts w:ascii="Arial" w:hAnsi="Arial" w:cs="Arial"/>
          <w:sz w:val="24"/>
          <w:szCs w:val="24"/>
        </w:rPr>
        <w:t>nadzire rad F</w:t>
      </w:r>
      <w:r w:rsidR="002D5EA6" w:rsidRPr="004C28C4">
        <w:rPr>
          <w:rFonts w:ascii="Arial" w:hAnsi="Arial" w:cs="Arial"/>
          <w:sz w:val="24"/>
          <w:szCs w:val="24"/>
        </w:rPr>
        <w:t>INA-e</w:t>
      </w:r>
      <w:r w:rsidRPr="004C28C4">
        <w:rPr>
          <w:rFonts w:ascii="Arial" w:hAnsi="Arial" w:cs="Arial"/>
          <w:sz w:val="24"/>
          <w:szCs w:val="24"/>
        </w:rPr>
        <w:t>,</w:t>
      </w:r>
    </w:p>
    <w:p w:rsidR="004E7209" w:rsidRPr="004C28C4" w:rsidRDefault="004E7209" w:rsidP="006674D6">
      <w:pPr>
        <w:pStyle w:val="Odlomakpopisa"/>
        <w:numPr>
          <w:ilvl w:val="0"/>
          <w:numId w:val="2"/>
        </w:numPr>
        <w:jc w:val="both"/>
        <w:rPr>
          <w:rFonts w:ascii="Arial" w:hAnsi="Arial" w:cs="Arial"/>
          <w:sz w:val="24"/>
          <w:szCs w:val="24"/>
        </w:rPr>
      </w:pPr>
      <w:r w:rsidRPr="004C28C4">
        <w:rPr>
          <w:rFonts w:ascii="Arial" w:hAnsi="Arial" w:cs="Arial"/>
          <w:sz w:val="24"/>
          <w:szCs w:val="24"/>
        </w:rPr>
        <w:t>odlučuje o utvrđenim i osporenim tražbinama,</w:t>
      </w:r>
    </w:p>
    <w:p w:rsidR="004E7209" w:rsidRPr="004C28C4" w:rsidRDefault="004E7209" w:rsidP="006674D6">
      <w:pPr>
        <w:pStyle w:val="Odlomakpopisa"/>
        <w:numPr>
          <w:ilvl w:val="0"/>
          <w:numId w:val="2"/>
        </w:numPr>
        <w:jc w:val="both"/>
        <w:rPr>
          <w:rFonts w:ascii="Arial" w:hAnsi="Arial" w:cs="Arial"/>
          <w:sz w:val="24"/>
          <w:szCs w:val="24"/>
        </w:rPr>
      </w:pPr>
      <w:r w:rsidRPr="004C28C4">
        <w:rPr>
          <w:rFonts w:ascii="Arial" w:hAnsi="Arial" w:cs="Arial"/>
          <w:sz w:val="24"/>
          <w:szCs w:val="24"/>
        </w:rPr>
        <w:t xml:space="preserve">odlučuje o obustavi </w:t>
      </w:r>
      <w:proofErr w:type="spellStart"/>
      <w:r w:rsidRPr="004C28C4">
        <w:rPr>
          <w:rFonts w:ascii="Arial" w:hAnsi="Arial" w:cs="Arial"/>
          <w:sz w:val="24"/>
          <w:szCs w:val="24"/>
        </w:rPr>
        <w:t>predstečajnog</w:t>
      </w:r>
      <w:proofErr w:type="spellEnd"/>
      <w:r w:rsidRPr="004C28C4">
        <w:rPr>
          <w:rFonts w:ascii="Arial" w:hAnsi="Arial" w:cs="Arial"/>
          <w:sz w:val="24"/>
          <w:szCs w:val="24"/>
        </w:rPr>
        <w:t xml:space="preserve"> postupka,</w:t>
      </w:r>
    </w:p>
    <w:p w:rsidR="004E7209" w:rsidRPr="004C28C4" w:rsidRDefault="004E7209" w:rsidP="006674D6">
      <w:pPr>
        <w:pStyle w:val="Odlomakpopisa"/>
        <w:numPr>
          <w:ilvl w:val="0"/>
          <w:numId w:val="2"/>
        </w:numPr>
        <w:jc w:val="both"/>
        <w:rPr>
          <w:rFonts w:ascii="Arial" w:hAnsi="Arial" w:cs="Arial"/>
          <w:sz w:val="24"/>
          <w:szCs w:val="24"/>
        </w:rPr>
      </w:pPr>
      <w:r w:rsidRPr="004C28C4">
        <w:rPr>
          <w:rFonts w:ascii="Arial" w:hAnsi="Arial" w:cs="Arial"/>
          <w:sz w:val="24"/>
          <w:szCs w:val="24"/>
        </w:rPr>
        <w:t xml:space="preserve">odlučuje o svim drugim pitanjima </w:t>
      </w:r>
      <w:proofErr w:type="spellStart"/>
      <w:r w:rsidRPr="004C28C4">
        <w:rPr>
          <w:rFonts w:ascii="Arial" w:hAnsi="Arial" w:cs="Arial"/>
          <w:sz w:val="24"/>
          <w:szCs w:val="24"/>
        </w:rPr>
        <w:t>predstečajnog</w:t>
      </w:r>
      <w:proofErr w:type="spellEnd"/>
      <w:r w:rsidRPr="004C28C4">
        <w:rPr>
          <w:rFonts w:ascii="Arial" w:hAnsi="Arial" w:cs="Arial"/>
          <w:sz w:val="24"/>
          <w:szCs w:val="24"/>
        </w:rPr>
        <w:t xml:space="preserve"> postupka ako Zakonom nije određeno da o njima odlu</w:t>
      </w:r>
      <w:r w:rsidR="008F6676">
        <w:rPr>
          <w:rFonts w:ascii="Arial" w:hAnsi="Arial" w:cs="Arial"/>
          <w:sz w:val="24"/>
          <w:szCs w:val="24"/>
        </w:rPr>
        <w:t xml:space="preserve">čuje drugo tijelo </w:t>
      </w:r>
      <w:proofErr w:type="spellStart"/>
      <w:r w:rsidR="008F6676">
        <w:rPr>
          <w:rFonts w:ascii="Arial" w:hAnsi="Arial" w:cs="Arial"/>
          <w:sz w:val="24"/>
          <w:szCs w:val="24"/>
        </w:rPr>
        <w:t>predstečajnog</w:t>
      </w:r>
      <w:proofErr w:type="spellEnd"/>
      <w:r w:rsidRPr="004C28C4">
        <w:rPr>
          <w:rFonts w:ascii="Arial" w:hAnsi="Arial" w:cs="Arial"/>
          <w:sz w:val="24"/>
          <w:szCs w:val="24"/>
        </w:rPr>
        <w:t xml:space="preserve"> postupka</w:t>
      </w:r>
      <w:r w:rsidR="00AF414C" w:rsidRPr="004C28C4">
        <w:rPr>
          <w:rStyle w:val="Referencafusnote"/>
          <w:rFonts w:ascii="Arial" w:hAnsi="Arial" w:cs="Arial"/>
          <w:sz w:val="24"/>
          <w:szCs w:val="24"/>
        </w:rPr>
        <w:footnoteReference w:id="68"/>
      </w:r>
      <w:r w:rsidRPr="004C28C4">
        <w:rPr>
          <w:rFonts w:ascii="Arial" w:hAnsi="Arial" w:cs="Arial"/>
          <w:sz w:val="24"/>
          <w:szCs w:val="24"/>
        </w:rPr>
        <w:t>.</w:t>
      </w:r>
    </w:p>
    <w:p w:rsidR="00772605" w:rsidRPr="004C28C4" w:rsidRDefault="00772605" w:rsidP="00772605">
      <w:pPr>
        <w:pStyle w:val="Odlomakpopisa"/>
        <w:ind w:left="1065"/>
        <w:jc w:val="both"/>
        <w:rPr>
          <w:rFonts w:ascii="Arial" w:hAnsi="Arial" w:cs="Arial"/>
          <w:sz w:val="24"/>
          <w:szCs w:val="24"/>
        </w:rPr>
      </w:pPr>
    </w:p>
    <w:p w:rsidR="00261FFA" w:rsidRDefault="00951AD8" w:rsidP="00951AD8">
      <w:pPr>
        <w:pStyle w:val="Naslov3"/>
      </w:pPr>
      <w:bookmarkStart w:id="15" w:name="_Toc507067613"/>
      <w:r>
        <w:t>2</w:t>
      </w:r>
      <w:r w:rsidR="00DE609E" w:rsidRPr="004C28C4">
        <w:t>.1.</w:t>
      </w:r>
      <w:r w:rsidR="00084C72">
        <w:t>1.</w:t>
      </w:r>
      <w:r w:rsidR="00772605" w:rsidRPr="004C28C4">
        <w:t xml:space="preserve"> </w:t>
      </w:r>
      <w:r w:rsidR="004F53DA" w:rsidRPr="00C75168">
        <w:t>O</w:t>
      </w:r>
      <w:r w:rsidR="002B6F15" w:rsidRPr="00C75168">
        <w:t>tvaranj</w:t>
      </w:r>
      <w:r w:rsidR="004F53DA" w:rsidRPr="00C75168">
        <w:t>e</w:t>
      </w:r>
      <w:r w:rsidR="0047305C">
        <w:t xml:space="preserve"> </w:t>
      </w:r>
      <w:proofErr w:type="spellStart"/>
      <w:r w:rsidR="0047305C">
        <w:t>predstečajnog</w:t>
      </w:r>
      <w:proofErr w:type="spellEnd"/>
      <w:r w:rsidR="002B6F15" w:rsidRPr="00C75168">
        <w:t xml:space="preserve"> postupka</w:t>
      </w:r>
      <w:bookmarkEnd w:id="15"/>
    </w:p>
    <w:p w:rsidR="00951AD8" w:rsidRPr="00951AD8" w:rsidRDefault="00951AD8" w:rsidP="00951AD8"/>
    <w:p w:rsidR="00F36576" w:rsidRPr="00951AD8" w:rsidRDefault="00951AD8" w:rsidP="00951AD8">
      <w:pPr>
        <w:ind w:left="709"/>
        <w:jc w:val="both"/>
        <w:rPr>
          <w:rFonts w:ascii="Arial" w:hAnsi="Arial" w:cs="Arial"/>
          <w:b/>
          <w:sz w:val="24"/>
          <w:szCs w:val="24"/>
        </w:rPr>
      </w:pPr>
      <w:r>
        <w:rPr>
          <w:rFonts w:ascii="Arial" w:hAnsi="Arial" w:cs="Arial"/>
          <w:b/>
          <w:sz w:val="24"/>
          <w:szCs w:val="24"/>
        </w:rPr>
        <w:t xml:space="preserve">2.1.1.1. </w:t>
      </w:r>
      <w:r w:rsidR="00F36576" w:rsidRPr="00951AD8">
        <w:rPr>
          <w:rFonts w:ascii="Arial" w:hAnsi="Arial" w:cs="Arial"/>
          <w:b/>
          <w:sz w:val="24"/>
          <w:szCs w:val="24"/>
        </w:rPr>
        <w:t>Prethodno ispitivanje prijedloga</w:t>
      </w:r>
    </w:p>
    <w:p w:rsidR="00F0760B" w:rsidRDefault="00F0760B" w:rsidP="002C4707">
      <w:pPr>
        <w:pStyle w:val="Bezproreda"/>
        <w:ind w:firstLine="708"/>
        <w:jc w:val="both"/>
      </w:pPr>
      <w:proofErr w:type="spellStart"/>
      <w:r w:rsidRPr="004C28C4">
        <w:t>Predstečajni</w:t>
      </w:r>
      <w:proofErr w:type="spellEnd"/>
      <w:r w:rsidRPr="004C28C4">
        <w:t xml:space="preserve"> postupak je hitan</w:t>
      </w:r>
      <w:r w:rsidR="00C75168">
        <w:t>. S</w:t>
      </w:r>
      <w:r w:rsidRPr="004C28C4">
        <w:t>ud o prij</w:t>
      </w:r>
      <w:r w:rsidR="0079417C" w:rsidRPr="004C28C4">
        <w:t>edlogu mora odlučiti u roku od osam</w:t>
      </w:r>
      <w:r w:rsidRPr="004C28C4">
        <w:t xml:space="preserve"> dana </w:t>
      </w:r>
      <w:r w:rsidR="00AF414C" w:rsidRPr="004C28C4">
        <w:t>od dana podnošenja potpunog</w:t>
      </w:r>
      <w:r w:rsidR="00C71A8A">
        <w:t>a</w:t>
      </w:r>
      <w:r w:rsidRPr="004C28C4">
        <w:t xml:space="preserve"> prijedloga. </w:t>
      </w:r>
      <w:r w:rsidR="0079417C" w:rsidRPr="004C28C4">
        <w:t>Riječ je o instruktivnom roku.</w:t>
      </w:r>
      <w:r w:rsidR="008F6676">
        <w:rPr>
          <w:rStyle w:val="Referencafusnote"/>
          <w:rFonts w:cs="Arial"/>
          <w:szCs w:val="24"/>
        </w:rPr>
        <w:footnoteReference w:id="69"/>
      </w:r>
      <w:r w:rsidR="0079417C" w:rsidRPr="004C28C4">
        <w:t xml:space="preserve"> </w:t>
      </w:r>
      <w:r w:rsidR="000C6A6C">
        <w:t xml:space="preserve">U navedenom </w:t>
      </w:r>
      <w:r w:rsidRPr="004C28C4">
        <w:t xml:space="preserve">roku sud </w:t>
      </w:r>
      <w:r w:rsidR="0079417C" w:rsidRPr="004C28C4">
        <w:t>treba</w:t>
      </w:r>
      <w:r w:rsidRPr="004C28C4">
        <w:t xml:space="preserve"> </w:t>
      </w:r>
      <w:r w:rsidR="006C1FA2" w:rsidRPr="004C28C4">
        <w:t xml:space="preserve">ispitati prijedlog i </w:t>
      </w:r>
      <w:r w:rsidRPr="004C28C4">
        <w:t xml:space="preserve">utvrditi je li </w:t>
      </w:r>
      <w:r w:rsidR="00A54A83" w:rsidRPr="004C28C4">
        <w:t>podnesen od ovlaštene osobe odnosno je li dopušten</w:t>
      </w:r>
      <w:r w:rsidRPr="004C28C4">
        <w:t>, sadrži li sve što treba sadržavati da bi sud po njemu mogao postupati</w:t>
      </w:r>
      <w:r w:rsidR="00AF414C" w:rsidRPr="004C28C4">
        <w:t>, je li predlagatelj uplatio predujam troškova postupka</w:t>
      </w:r>
      <w:r w:rsidRPr="004C28C4">
        <w:t xml:space="preserve"> te donijeti </w:t>
      </w:r>
      <w:r w:rsidR="00615CC7" w:rsidRPr="004C28C4">
        <w:t>odgovarajuće odluke.</w:t>
      </w:r>
    </w:p>
    <w:p w:rsidR="002C4707" w:rsidRPr="004C28C4" w:rsidRDefault="002C4707" w:rsidP="002C4707">
      <w:pPr>
        <w:pStyle w:val="Bezproreda"/>
        <w:ind w:firstLine="708"/>
        <w:jc w:val="both"/>
      </w:pPr>
    </w:p>
    <w:p w:rsidR="00023611" w:rsidRDefault="00023611" w:rsidP="002C4707">
      <w:pPr>
        <w:pStyle w:val="Bezproreda"/>
        <w:jc w:val="both"/>
      </w:pPr>
      <w:r w:rsidRPr="004C28C4">
        <w:tab/>
      </w:r>
      <w:proofErr w:type="spellStart"/>
      <w:r w:rsidR="00CC5B6A" w:rsidRPr="004C28C4">
        <w:t>Predstečajni</w:t>
      </w:r>
      <w:proofErr w:type="spellEnd"/>
      <w:r w:rsidR="00CC5B6A" w:rsidRPr="004C28C4">
        <w:t xml:space="preserve"> postupak pokreće se prijedlogom ovlaštene osobe. </w:t>
      </w:r>
      <w:r w:rsidRPr="004C28C4">
        <w:t xml:space="preserve">Podnositelj prijedloga </w:t>
      </w:r>
      <w:r w:rsidRPr="004C28C4">
        <w:rPr>
          <w:lang w:val="x-none"/>
        </w:rPr>
        <w:t xml:space="preserve">za otvaranje </w:t>
      </w:r>
      <w:proofErr w:type="spellStart"/>
      <w:r w:rsidRPr="004C28C4">
        <w:rPr>
          <w:lang w:val="x-none"/>
        </w:rPr>
        <w:t>predstečajnog</w:t>
      </w:r>
      <w:proofErr w:type="spellEnd"/>
      <w:r w:rsidRPr="004C28C4">
        <w:rPr>
          <w:lang w:val="x-none"/>
        </w:rPr>
        <w:t xml:space="preserve"> postupka </w:t>
      </w:r>
      <w:r w:rsidR="000426AB">
        <w:t xml:space="preserve">je </w:t>
      </w:r>
      <w:r w:rsidRPr="004C28C4">
        <w:rPr>
          <w:lang w:val="x-none"/>
        </w:rPr>
        <w:t>dužan uz prije</w:t>
      </w:r>
      <w:r w:rsidR="008F6676">
        <w:rPr>
          <w:lang w:val="x-none"/>
        </w:rPr>
        <w:t xml:space="preserve">dlog za otvaranje </w:t>
      </w:r>
      <w:proofErr w:type="spellStart"/>
      <w:r w:rsidR="008F6676">
        <w:rPr>
          <w:lang w:val="x-none"/>
        </w:rPr>
        <w:t>predstečajnog</w:t>
      </w:r>
      <w:proofErr w:type="spellEnd"/>
      <w:r w:rsidRPr="004C28C4">
        <w:rPr>
          <w:lang w:val="x-none"/>
        </w:rPr>
        <w:t xml:space="preserve"> postupka dostaviti: financijske izvještaje u skladu sa Zakonom o računovodstvu</w:t>
      </w:r>
      <w:r w:rsidRPr="004C28C4">
        <w:rPr>
          <w:rStyle w:val="Referencafusnote"/>
          <w:rFonts w:cs="Arial"/>
          <w:szCs w:val="24"/>
          <w:lang w:val="x-none"/>
        </w:rPr>
        <w:footnoteReference w:id="70"/>
      </w:r>
      <w:r w:rsidRPr="004C28C4">
        <w:rPr>
          <w:lang w:val="x-none"/>
        </w:rPr>
        <w:t xml:space="preserve"> koji nisu stariji od tri mjeseca od dana podnošenja prijedloga za otvaranje </w:t>
      </w:r>
      <w:proofErr w:type="spellStart"/>
      <w:r w:rsidRPr="004C28C4">
        <w:rPr>
          <w:lang w:val="x-none"/>
        </w:rPr>
        <w:t>predstečajnog</w:t>
      </w:r>
      <w:proofErr w:type="spellEnd"/>
      <w:r w:rsidRPr="004C28C4">
        <w:rPr>
          <w:lang w:val="x-none"/>
        </w:rPr>
        <w:t xml:space="preserve"> postupka</w:t>
      </w:r>
      <w:r w:rsidR="000426AB">
        <w:t xml:space="preserve">, izjavu o </w:t>
      </w:r>
      <w:r w:rsidR="000426AB" w:rsidRPr="003F70C2">
        <w:t>broju zaposleni</w:t>
      </w:r>
      <w:r w:rsidR="000426AB">
        <w:t>h na zadnji dan u mjesecu koji prethodi danu podnošenja prijedloga te prijedlog plana</w:t>
      </w:r>
      <w:r w:rsidR="000426AB" w:rsidRPr="003F70C2">
        <w:t xml:space="preserve"> restrukturiranja s točno određenim sadržajem</w:t>
      </w:r>
      <w:r w:rsidRPr="004C28C4">
        <w:rPr>
          <w:rStyle w:val="Referencafusnote"/>
          <w:rFonts w:cs="Arial"/>
          <w:szCs w:val="24"/>
          <w:lang w:val="x-none"/>
        </w:rPr>
        <w:footnoteReference w:id="71"/>
      </w:r>
      <w:r w:rsidRPr="004C28C4">
        <w:rPr>
          <w:lang w:val="x-none"/>
        </w:rPr>
        <w:t>.</w:t>
      </w:r>
    </w:p>
    <w:p w:rsidR="002C4707" w:rsidRPr="002C4707" w:rsidRDefault="002C4707" w:rsidP="002C4707">
      <w:pPr>
        <w:pStyle w:val="Bezproreda"/>
        <w:jc w:val="both"/>
      </w:pPr>
    </w:p>
    <w:p w:rsidR="00023611" w:rsidRDefault="00023611" w:rsidP="002C4707">
      <w:pPr>
        <w:pStyle w:val="Bezproreda"/>
        <w:jc w:val="both"/>
      </w:pPr>
      <w:r w:rsidRPr="004C28C4">
        <w:tab/>
        <w:t xml:space="preserve">Polazeći od činjenice da prijedlog za otvaranje </w:t>
      </w:r>
      <w:proofErr w:type="spellStart"/>
      <w:r w:rsidRPr="004C28C4">
        <w:t>predstečajnog</w:t>
      </w:r>
      <w:proofErr w:type="spellEnd"/>
      <w:r w:rsidRPr="004C28C4">
        <w:t xml:space="preserve"> postupka može podnijeti i vjerovnik uz prethodnu suglasnost dužnika, prijedlog za otvaranje </w:t>
      </w:r>
      <w:proofErr w:type="spellStart"/>
      <w:r w:rsidRPr="004C28C4">
        <w:t>predstečajnog</w:t>
      </w:r>
      <w:proofErr w:type="spellEnd"/>
      <w:r w:rsidRPr="004C28C4">
        <w:t xml:space="preserve"> postupka </w:t>
      </w:r>
      <w:r w:rsidR="000426AB">
        <w:t xml:space="preserve">kojeg je podnio vjerovnik </w:t>
      </w:r>
      <w:r w:rsidR="009404F8" w:rsidRPr="004C28C4">
        <w:t xml:space="preserve">također </w:t>
      </w:r>
      <w:r w:rsidRPr="004C28C4">
        <w:t xml:space="preserve">mora sadržavati </w:t>
      </w:r>
      <w:r w:rsidR="009404F8" w:rsidRPr="004C28C4">
        <w:t xml:space="preserve">sve što je zakonom propisano. Radi toga </w:t>
      </w:r>
      <w:r w:rsidRPr="004C28C4">
        <w:t xml:space="preserve">je nužna suradnja vjerovnika i dužnika </w:t>
      </w:r>
      <w:r w:rsidR="009404F8" w:rsidRPr="004C28C4">
        <w:t>u fazi pripreme prijedloga.</w:t>
      </w:r>
    </w:p>
    <w:p w:rsidR="002C4707" w:rsidRPr="004C28C4" w:rsidRDefault="002C4707" w:rsidP="002C4707">
      <w:pPr>
        <w:pStyle w:val="Bezproreda"/>
        <w:jc w:val="both"/>
      </w:pPr>
    </w:p>
    <w:p w:rsidR="00354058" w:rsidRPr="004C28C4" w:rsidRDefault="00354058" w:rsidP="002C4707">
      <w:pPr>
        <w:pStyle w:val="Bezproreda"/>
        <w:ind w:firstLine="708"/>
      </w:pPr>
      <w:proofErr w:type="spellStart"/>
      <w:r w:rsidRPr="004C28C4">
        <w:t>Predstečajni</w:t>
      </w:r>
      <w:proofErr w:type="spellEnd"/>
      <w:r w:rsidRPr="004C28C4">
        <w:t xml:space="preserve"> postupak može se provesti nad:</w:t>
      </w:r>
    </w:p>
    <w:p w:rsidR="00354058" w:rsidRPr="004C28C4" w:rsidRDefault="00354058" w:rsidP="002C4707">
      <w:pPr>
        <w:pStyle w:val="Bezproreda"/>
      </w:pPr>
      <w:r w:rsidRPr="004C28C4">
        <w:t xml:space="preserve">- pravnom osobom i </w:t>
      </w:r>
    </w:p>
    <w:p w:rsidR="00354058" w:rsidRDefault="00354058" w:rsidP="002C4707">
      <w:pPr>
        <w:pStyle w:val="Bezproreda"/>
      </w:pPr>
      <w:r w:rsidRPr="004C28C4">
        <w:t>- nad imovnom dužnika pojedinca, ako zakonom nije drukčije određeno</w:t>
      </w:r>
      <w:r w:rsidRPr="004C28C4">
        <w:rPr>
          <w:rStyle w:val="Referencafusnote"/>
          <w:rFonts w:cs="Arial"/>
          <w:szCs w:val="24"/>
        </w:rPr>
        <w:footnoteReference w:id="72"/>
      </w:r>
      <w:r w:rsidRPr="004C28C4">
        <w:t xml:space="preserve">. </w:t>
      </w:r>
    </w:p>
    <w:p w:rsidR="00C319FF" w:rsidRPr="004C28C4" w:rsidRDefault="00C319FF" w:rsidP="00C319FF">
      <w:pPr>
        <w:pStyle w:val="Bezproreda"/>
      </w:pPr>
    </w:p>
    <w:p w:rsidR="00354058" w:rsidRPr="004C28C4" w:rsidRDefault="00354058" w:rsidP="00354058">
      <w:pPr>
        <w:ind w:firstLine="705"/>
        <w:jc w:val="both"/>
        <w:rPr>
          <w:rFonts w:ascii="Arial" w:hAnsi="Arial" w:cs="Arial"/>
          <w:sz w:val="24"/>
          <w:szCs w:val="24"/>
        </w:rPr>
      </w:pPr>
      <w:r w:rsidRPr="004C28C4">
        <w:rPr>
          <w:rFonts w:ascii="Arial" w:hAnsi="Arial" w:cs="Arial"/>
          <w:sz w:val="24"/>
          <w:szCs w:val="24"/>
        </w:rPr>
        <w:t xml:space="preserve">Pojam pravna osoba obuhvaća širok krug subjekata od trgovačkih društava, udruga, ustanova i drugih pravnih osoba. </w:t>
      </w:r>
    </w:p>
    <w:p w:rsidR="00354058" w:rsidRPr="004C28C4" w:rsidRDefault="00354058" w:rsidP="00354058">
      <w:pPr>
        <w:pStyle w:val="Tekstfusnote"/>
        <w:ind w:firstLine="705"/>
        <w:jc w:val="both"/>
        <w:rPr>
          <w:rFonts w:ascii="Arial" w:hAnsi="Arial" w:cs="Arial"/>
          <w:sz w:val="24"/>
          <w:szCs w:val="24"/>
        </w:rPr>
      </w:pPr>
      <w:r w:rsidRPr="004C28C4">
        <w:rPr>
          <w:rFonts w:ascii="Arial" w:hAnsi="Arial" w:cs="Arial"/>
          <w:sz w:val="24"/>
          <w:szCs w:val="24"/>
        </w:rPr>
        <w:t xml:space="preserve">Dužnikom pojedincem smatra se fizička osoba </w:t>
      </w:r>
      <w:r w:rsidR="008F6676">
        <w:rPr>
          <w:rFonts w:ascii="Arial" w:hAnsi="Arial" w:cs="Arial"/>
          <w:sz w:val="24"/>
          <w:szCs w:val="24"/>
        </w:rPr>
        <w:t xml:space="preserve">koja je </w:t>
      </w:r>
      <w:r w:rsidRPr="004C28C4">
        <w:rPr>
          <w:rFonts w:ascii="Arial" w:hAnsi="Arial" w:cs="Arial"/>
          <w:sz w:val="24"/>
          <w:szCs w:val="24"/>
        </w:rPr>
        <w:t>obveznik poreza na dohodak prema odredbama Zakona o porezu na dohodak</w:t>
      </w:r>
      <w:r w:rsidRPr="004C28C4">
        <w:rPr>
          <w:rStyle w:val="Referencafusnote"/>
          <w:rFonts w:ascii="Arial" w:hAnsi="Arial" w:cs="Arial"/>
          <w:sz w:val="24"/>
          <w:szCs w:val="24"/>
        </w:rPr>
        <w:footnoteReference w:id="73"/>
      </w:r>
      <w:r w:rsidRPr="004C28C4">
        <w:rPr>
          <w:rFonts w:ascii="Arial" w:hAnsi="Arial" w:cs="Arial"/>
          <w:sz w:val="24"/>
          <w:szCs w:val="24"/>
        </w:rPr>
        <w:t xml:space="preserve"> i fizička osoba obveznik poreza na dobit prema </w:t>
      </w:r>
      <w:r w:rsidRPr="004C28C4">
        <w:rPr>
          <w:rFonts w:ascii="Arial" w:hAnsi="Arial" w:cs="Arial"/>
          <w:sz w:val="24"/>
          <w:szCs w:val="24"/>
        </w:rPr>
        <w:lastRenderedPageBreak/>
        <w:t>odredbama Zakona o porezu na dobit</w:t>
      </w:r>
      <w:r w:rsidRPr="004C28C4">
        <w:rPr>
          <w:rStyle w:val="Referencafusnote"/>
          <w:rFonts w:ascii="Arial" w:hAnsi="Arial" w:cs="Arial"/>
          <w:sz w:val="24"/>
          <w:szCs w:val="24"/>
        </w:rPr>
        <w:footnoteReference w:id="74"/>
      </w:r>
      <w:r w:rsidRPr="004C28C4">
        <w:rPr>
          <w:rFonts w:ascii="Arial" w:hAnsi="Arial" w:cs="Arial"/>
          <w:sz w:val="24"/>
          <w:szCs w:val="24"/>
        </w:rPr>
        <w:t>.  Porezni obveznik prema odredbama Zakonu o porezu na dohodak je fizička osoba koja ostvaruje dohodak od nesamostalnog rada, samostalne djelatnosti, dohodak od imovine i imovinskih prava, dohodak od kapitala, dohodak od osiguranja i/ili drugih dohodaka.</w:t>
      </w:r>
      <w:r w:rsidR="00816D6E" w:rsidRPr="004C28C4">
        <w:rPr>
          <w:rFonts w:ascii="Arial" w:hAnsi="Arial" w:cs="Arial"/>
          <w:sz w:val="24"/>
          <w:szCs w:val="24"/>
        </w:rPr>
        <w:t xml:space="preserve"> </w:t>
      </w:r>
    </w:p>
    <w:p w:rsidR="00354058" w:rsidRPr="004C28C4" w:rsidRDefault="00354058" w:rsidP="00354058">
      <w:pPr>
        <w:pStyle w:val="Tekstfusnote"/>
        <w:ind w:firstLine="705"/>
        <w:jc w:val="both"/>
        <w:rPr>
          <w:rFonts w:ascii="Arial" w:hAnsi="Arial" w:cs="Arial"/>
          <w:sz w:val="24"/>
          <w:szCs w:val="24"/>
        </w:rPr>
      </w:pPr>
    </w:p>
    <w:p w:rsidR="00354058" w:rsidRPr="004C28C4" w:rsidRDefault="00354058" w:rsidP="00354058">
      <w:pPr>
        <w:pStyle w:val="Tekstfusnote"/>
        <w:ind w:firstLine="705"/>
        <w:jc w:val="both"/>
        <w:rPr>
          <w:rFonts w:ascii="Arial" w:hAnsi="Arial" w:cs="Arial"/>
          <w:sz w:val="24"/>
          <w:szCs w:val="24"/>
        </w:rPr>
      </w:pPr>
      <w:r w:rsidRPr="004C28C4">
        <w:rPr>
          <w:rFonts w:ascii="Arial" w:hAnsi="Arial" w:cs="Arial"/>
          <w:sz w:val="24"/>
          <w:szCs w:val="24"/>
        </w:rPr>
        <w:t>Zakon o porezu na dobit određuje da je porezni obveznik fizička osoba rezident Republike Hrvatske koja gospodarsku djelatnost obavlja samostalno, trajno i radi ostvarivanja dobiti, dohotka ili drugih prihoda ili drugih gospodarskih procjenjivih koristi. Porezni obveznik je i tuzemna poslovna jedinica inozemnog poduzetnika (</w:t>
      </w:r>
      <w:proofErr w:type="spellStart"/>
      <w:r w:rsidRPr="004C28C4">
        <w:rPr>
          <w:rFonts w:ascii="Arial" w:hAnsi="Arial" w:cs="Arial"/>
          <w:sz w:val="24"/>
          <w:szCs w:val="24"/>
        </w:rPr>
        <w:t>nerezident</w:t>
      </w:r>
      <w:proofErr w:type="spellEnd"/>
      <w:r w:rsidRPr="004C28C4">
        <w:rPr>
          <w:rFonts w:ascii="Arial" w:hAnsi="Arial" w:cs="Arial"/>
          <w:sz w:val="24"/>
          <w:szCs w:val="24"/>
        </w:rPr>
        <w:t>). Porezni obveznik je i fizička osoba, koja ostvaruje dohodak prema propisima o oporezivanju dohotka, ako izjavi da će plaćati porez na dobit umjesto poreza na dohodak.</w:t>
      </w:r>
    </w:p>
    <w:p w:rsidR="00354058" w:rsidRPr="004C28C4" w:rsidRDefault="00354058" w:rsidP="00354058">
      <w:pPr>
        <w:pStyle w:val="Tekstfusnote"/>
        <w:ind w:firstLine="705"/>
        <w:jc w:val="both"/>
        <w:rPr>
          <w:rFonts w:ascii="Arial" w:hAnsi="Arial" w:cs="Arial"/>
          <w:sz w:val="24"/>
          <w:szCs w:val="24"/>
        </w:rPr>
      </w:pPr>
    </w:p>
    <w:p w:rsidR="00354058" w:rsidRPr="004C28C4" w:rsidRDefault="00354058" w:rsidP="00354058">
      <w:pPr>
        <w:ind w:firstLine="705"/>
        <w:jc w:val="both"/>
        <w:rPr>
          <w:rFonts w:ascii="Arial" w:hAnsi="Arial" w:cs="Arial"/>
          <w:sz w:val="24"/>
          <w:szCs w:val="24"/>
        </w:rPr>
      </w:pPr>
      <w:proofErr w:type="spellStart"/>
      <w:r w:rsidRPr="004C28C4">
        <w:rPr>
          <w:rFonts w:ascii="Arial" w:hAnsi="Arial" w:cs="Arial"/>
          <w:sz w:val="24"/>
          <w:szCs w:val="24"/>
        </w:rPr>
        <w:t>Predstečajni</w:t>
      </w:r>
      <w:proofErr w:type="spellEnd"/>
      <w:r w:rsidRPr="004C28C4">
        <w:rPr>
          <w:rFonts w:ascii="Arial" w:hAnsi="Arial" w:cs="Arial"/>
          <w:sz w:val="24"/>
          <w:szCs w:val="24"/>
        </w:rPr>
        <w:t xml:space="preserve"> postupak ne može se provesti </w:t>
      </w:r>
      <w:r w:rsidR="009404F8" w:rsidRPr="004C28C4">
        <w:rPr>
          <w:rFonts w:ascii="Arial" w:hAnsi="Arial" w:cs="Arial"/>
          <w:sz w:val="24"/>
          <w:szCs w:val="24"/>
        </w:rPr>
        <w:t xml:space="preserve">(apsolutna zabrana) </w:t>
      </w:r>
      <w:r w:rsidRPr="004C28C4">
        <w:rPr>
          <w:rFonts w:ascii="Arial" w:hAnsi="Arial" w:cs="Arial"/>
          <w:sz w:val="24"/>
          <w:szCs w:val="24"/>
        </w:rPr>
        <w:t xml:space="preserve">nad: </w:t>
      </w:r>
    </w:p>
    <w:p w:rsidR="00354058" w:rsidRPr="004C28C4" w:rsidRDefault="00354058" w:rsidP="006674D6">
      <w:pPr>
        <w:pStyle w:val="Odlomakpopisa"/>
        <w:numPr>
          <w:ilvl w:val="0"/>
          <w:numId w:val="2"/>
        </w:numPr>
        <w:jc w:val="both"/>
        <w:rPr>
          <w:rFonts w:ascii="Arial" w:hAnsi="Arial" w:cs="Arial"/>
          <w:sz w:val="24"/>
          <w:szCs w:val="24"/>
        </w:rPr>
      </w:pPr>
      <w:r w:rsidRPr="004C28C4">
        <w:rPr>
          <w:rFonts w:ascii="Arial" w:hAnsi="Arial" w:cs="Arial"/>
          <w:sz w:val="24"/>
          <w:szCs w:val="24"/>
        </w:rPr>
        <w:t>Republikom Hrvatskom i fondovima koji se financiraju iz proračuna Republike Hrvatske,</w:t>
      </w:r>
    </w:p>
    <w:p w:rsidR="00354058" w:rsidRPr="004C28C4" w:rsidRDefault="00354058" w:rsidP="006674D6">
      <w:pPr>
        <w:pStyle w:val="Odlomakpopisa"/>
        <w:numPr>
          <w:ilvl w:val="0"/>
          <w:numId w:val="2"/>
        </w:numPr>
        <w:jc w:val="both"/>
        <w:rPr>
          <w:rFonts w:ascii="Arial" w:hAnsi="Arial" w:cs="Arial"/>
          <w:sz w:val="24"/>
          <w:szCs w:val="24"/>
        </w:rPr>
      </w:pPr>
      <w:r w:rsidRPr="004C28C4">
        <w:rPr>
          <w:rFonts w:ascii="Arial" w:hAnsi="Arial" w:cs="Arial"/>
          <w:sz w:val="24"/>
          <w:szCs w:val="24"/>
        </w:rPr>
        <w:t>Hrvatskim zavodom za zdravstveno osiguranje,</w:t>
      </w:r>
    </w:p>
    <w:p w:rsidR="00354058" w:rsidRPr="004C28C4" w:rsidRDefault="00354058" w:rsidP="006674D6">
      <w:pPr>
        <w:pStyle w:val="Odlomakpopisa"/>
        <w:numPr>
          <w:ilvl w:val="0"/>
          <w:numId w:val="2"/>
        </w:numPr>
        <w:jc w:val="both"/>
        <w:rPr>
          <w:rFonts w:ascii="Arial" w:hAnsi="Arial" w:cs="Arial"/>
          <w:sz w:val="24"/>
          <w:szCs w:val="24"/>
        </w:rPr>
      </w:pPr>
      <w:r w:rsidRPr="004C28C4">
        <w:rPr>
          <w:rFonts w:ascii="Arial" w:hAnsi="Arial" w:cs="Arial"/>
          <w:sz w:val="24"/>
          <w:szCs w:val="24"/>
        </w:rPr>
        <w:t>Hrvatskim zavodom za mirovinsko osiguranje i</w:t>
      </w:r>
    </w:p>
    <w:p w:rsidR="00354058" w:rsidRPr="004C28C4" w:rsidRDefault="00354058" w:rsidP="006674D6">
      <w:pPr>
        <w:pStyle w:val="Odlomakpopisa"/>
        <w:numPr>
          <w:ilvl w:val="0"/>
          <w:numId w:val="2"/>
        </w:numPr>
        <w:jc w:val="both"/>
        <w:rPr>
          <w:rFonts w:ascii="Arial" w:hAnsi="Arial" w:cs="Arial"/>
          <w:sz w:val="24"/>
          <w:szCs w:val="24"/>
        </w:rPr>
      </w:pPr>
      <w:r w:rsidRPr="004C28C4">
        <w:rPr>
          <w:rFonts w:ascii="Arial" w:hAnsi="Arial" w:cs="Arial"/>
          <w:sz w:val="24"/>
          <w:szCs w:val="24"/>
        </w:rPr>
        <w:t>jedinicama lokalne i područne (regionalne) samouprave</w:t>
      </w:r>
    </w:p>
    <w:p w:rsidR="00DE338F" w:rsidRPr="004C28C4" w:rsidRDefault="00DE338F" w:rsidP="006674D6">
      <w:pPr>
        <w:pStyle w:val="Odlomakpopisa"/>
        <w:numPr>
          <w:ilvl w:val="0"/>
          <w:numId w:val="2"/>
        </w:numPr>
        <w:jc w:val="both"/>
        <w:rPr>
          <w:rFonts w:ascii="Arial" w:hAnsi="Arial" w:cs="Arial"/>
          <w:sz w:val="24"/>
          <w:szCs w:val="24"/>
        </w:rPr>
      </w:pPr>
      <w:r w:rsidRPr="004C28C4">
        <w:rPr>
          <w:rFonts w:ascii="Arial" w:hAnsi="Arial" w:cs="Arial"/>
          <w:sz w:val="24"/>
          <w:szCs w:val="24"/>
        </w:rPr>
        <w:t>nad financijskom institucijom</w:t>
      </w:r>
      <w:r w:rsidR="00F30C65" w:rsidRPr="004C28C4">
        <w:rPr>
          <w:rStyle w:val="Referencafusnote"/>
          <w:rFonts w:ascii="Arial" w:hAnsi="Arial" w:cs="Arial"/>
          <w:sz w:val="24"/>
          <w:szCs w:val="24"/>
        </w:rPr>
        <w:footnoteReference w:id="75"/>
      </w:r>
      <w:r w:rsidR="00F30C65" w:rsidRPr="004C28C4">
        <w:rPr>
          <w:rFonts w:ascii="Arial" w:hAnsi="Arial" w:cs="Arial"/>
          <w:sz w:val="24"/>
          <w:szCs w:val="24"/>
        </w:rPr>
        <w:t xml:space="preserve">, </w:t>
      </w:r>
      <w:r w:rsidRPr="004C28C4">
        <w:rPr>
          <w:rFonts w:ascii="Arial" w:hAnsi="Arial" w:cs="Arial"/>
          <w:sz w:val="24"/>
          <w:szCs w:val="24"/>
        </w:rPr>
        <w:t>kreditnom unijom, investicijskim društvom</w:t>
      </w:r>
      <w:r w:rsidR="00F30C65" w:rsidRPr="004C28C4">
        <w:rPr>
          <w:rStyle w:val="Referencafusnote"/>
          <w:rFonts w:ascii="Arial" w:hAnsi="Arial" w:cs="Arial"/>
          <w:sz w:val="24"/>
          <w:szCs w:val="24"/>
        </w:rPr>
        <w:footnoteReference w:id="76"/>
      </w:r>
      <w:r w:rsidRPr="004C28C4">
        <w:rPr>
          <w:rFonts w:ascii="Arial" w:hAnsi="Arial" w:cs="Arial"/>
          <w:sz w:val="24"/>
          <w:szCs w:val="24"/>
        </w:rPr>
        <w:t>i društvom za upravljanje investicijskim fondovima, kreditnom institucijom</w:t>
      </w:r>
      <w:r w:rsidR="00621B2F" w:rsidRPr="004C28C4">
        <w:rPr>
          <w:rStyle w:val="Referencafusnote"/>
          <w:rFonts w:ascii="Arial" w:hAnsi="Arial" w:cs="Arial"/>
          <w:sz w:val="24"/>
          <w:szCs w:val="24"/>
        </w:rPr>
        <w:footnoteReference w:id="77"/>
      </w:r>
      <w:r w:rsidRPr="004C28C4">
        <w:rPr>
          <w:rFonts w:ascii="Arial" w:hAnsi="Arial" w:cs="Arial"/>
          <w:sz w:val="24"/>
          <w:szCs w:val="24"/>
        </w:rPr>
        <w:t>, društvom za osiguranje i reosiguranje</w:t>
      </w:r>
      <w:r w:rsidR="00811471" w:rsidRPr="004C28C4">
        <w:rPr>
          <w:rStyle w:val="Referencafusnote"/>
          <w:rFonts w:ascii="Arial" w:hAnsi="Arial" w:cs="Arial"/>
          <w:sz w:val="24"/>
          <w:szCs w:val="24"/>
        </w:rPr>
        <w:footnoteReference w:id="78"/>
      </w:r>
      <w:r w:rsidRPr="004C28C4">
        <w:rPr>
          <w:rFonts w:ascii="Arial" w:hAnsi="Arial" w:cs="Arial"/>
          <w:sz w:val="24"/>
          <w:szCs w:val="24"/>
        </w:rPr>
        <w:t xml:space="preserve">, </w:t>
      </w:r>
      <w:proofErr w:type="spellStart"/>
      <w:r w:rsidRPr="004C28C4">
        <w:rPr>
          <w:rFonts w:ascii="Arial" w:hAnsi="Arial" w:cs="Arial"/>
          <w:i/>
          <w:sz w:val="24"/>
          <w:szCs w:val="24"/>
        </w:rPr>
        <w:t>leasing</w:t>
      </w:r>
      <w:proofErr w:type="spellEnd"/>
      <w:r w:rsidRPr="004C28C4">
        <w:rPr>
          <w:rFonts w:ascii="Arial" w:hAnsi="Arial" w:cs="Arial"/>
          <w:sz w:val="24"/>
          <w:szCs w:val="24"/>
        </w:rPr>
        <w:t xml:space="preserve"> društvom, institucijom za platni promet i institucijom za elektronički novac</w:t>
      </w:r>
      <w:r w:rsidRPr="004C28C4">
        <w:rPr>
          <w:rStyle w:val="Referencafusnote"/>
          <w:rFonts w:ascii="Arial" w:hAnsi="Arial" w:cs="Arial"/>
          <w:sz w:val="24"/>
          <w:szCs w:val="24"/>
        </w:rPr>
        <w:footnoteReference w:id="79"/>
      </w:r>
      <w:r w:rsidR="00383BF2">
        <w:rPr>
          <w:rFonts w:ascii="Arial" w:hAnsi="Arial" w:cs="Arial"/>
          <w:sz w:val="24"/>
          <w:szCs w:val="24"/>
        </w:rPr>
        <w:t>.</w:t>
      </w:r>
    </w:p>
    <w:p w:rsidR="0047305C" w:rsidRDefault="00354058" w:rsidP="0047305C">
      <w:pPr>
        <w:pStyle w:val="Bezproreda"/>
        <w:ind w:firstLine="705"/>
        <w:jc w:val="both"/>
      </w:pPr>
      <w:r w:rsidRPr="004C28C4">
        <w:t xml:space="preserve">Nad određenim pravnim osobama </w:t>
      </w:r>
      <w:proofErr w:type="spellStart"/>
      <w:r w:rsidRPr="004C28C4">
        <w:t>predstečajni</w:t>
      </w:r>
      <w:proofErr w:type="spellEnd"/>
      <w:r w:rsidRPr="004C28C4">
        <w:t xml:space="preserve"> postupak može se provesti samo uz ispunjenje određenih pretpostavki</w:t>
      </w:r>
      <w:r w:rsidR="0071026B" w:rsidRPr="004C28C4">
        <w:t xml:space="preserve"> (relativna zabrana)</w:t>
      </w:r>
      <w:r w:rsidRPr="004C28C4">
        <w:t>. Nad pravnom osobom čija je glavna djelatnost proizvodnja oružja i vojne opreme odnosno pružanj</w:t>
      </w:r>
      <w:r w:rsidR="00BB5EB1">
        <w:t>e</w:t>
      </w:r>
      <w:r w:rsidRPr="004C28C4">
        <w:t xml:space="preserve"> usluga Oružanim snagama Republike Hrvatske za potrebe obrane i sigurnosti </w:t>
      </w:r>
      <w:proofErr w:type="spellStart"/>
      <w:r w:rsidRPr="004C28C4">
        <w:t>predstečajni</w:t>
      </w:r>
      <w:proofErr w:type="spellEnd"/>
      <w:r w:rsidRPr="004C28C4">
        <w:t xml:space="preserve"> postupak može se otvoriti samo uz prethodnu suglasnost ministra nadležnog za poslove obrane. Ako sud primi prijedlog za otvaranje </w:t>
      </w:r>
      <w:proofErr w:type="spellStart"/>
      <w:r w:rsidRPr="004C28C4">
        <w:t>predstečajnog</w:t>
      </w:r>
      <w:proofErr w:type="spellEnd"/>
      <w:r w:rsidRPr="004C28C4">
        <w:t xml:space="preserve"> postupka nad takvom pravnom osobom bez prethodne suglasnosti nadležnog ministra</w:t>
      </w:r>
      <w:r w:rsidR="00BB5EB1">
        <w:t>,</w:t>
      </w:r>
      <w:r w:rsidRPr="004C28C4">
        <w:t xml:space="preserve"> dužan </w:t>
      </w:r>
      <w:r w:rsidR="00BB5EB1">
        <w:t xml:space="preserve">je </w:t>
      </w:r>
      <w:r w:rsidRPr="004C28C4">
        <w:t xml:space="preserve">odmah o tome obavijestiti ministra nadležnog za poslove obrane. Ako ministar nadležan za poslove obrane ne uskrati suglasnost za otvaranje </w:t>
      </w:r>
      <w:proofErr w:type="spellStart"/>
      <w:r w:rsidRPr="004C28C4">
        <w:t>predstečajnog</w:t>
      </w:r>
      <w:proofErr w:type="spellEnd"/>
      <w:r w:rsidRPr="004C28C4">
        <w:t xml:space="preserve"> postupka u roku od 30 dana od dana primitka obav</w:t>
      </w:r>
      <w:r w:rsidR="00C75168">
        <w:t>i</w:t>
      </w:r>
      <w:r w:rsidRPr="004C28C4">
        <w:t xml:space="preserve">jesti suda o pokretanju postupka, smatrat će se da je suglasnost dana. </w:t>
      </w:r>
      <w:r w:rsidR="00AF414C" w:rsidRPr="004C28C4">
        <w:t>U</w:t>
      </w:r>
      <w:r w:rsidRPr="004C28C4">
        <w:t xml:space="preserve"> slučaj</w:t>
      </w:r>
      <w:r w:rsidR="00AF414C" w:rsidRPr="004C28C4">
        <w:t>u</w:t>
      </w:r>
      <w:r w:rsidRPr="004C28C4">
        <w:t xml:space="preserve"> da ministar uskrati suglasnost, </w:t>
      </w:r>
      <w:r w:rsidR="00070F5D" w:rsidRPr="004C28C4">
        <w:t xml:space="preserve">sud će prijedlog odbaciti kao nedopušten, a </w:t>
      </w:r>
      <w:r w:rsidRPr="004C28C4">
        <w:t>za obveze dužnika solidarno odgovara Republika Hrvatska</w:t>
      </w:r>
      <w:r w:rsidR="00AF414C" w:rsidRPr="004C28C4">
        <w:rPr>
          <w:rStyle w:val="Referencafusnote"/>
          <w:rFonts w:cs="Arial"/>
          <w:szCs w:val="24"/>
        </w:rPr>
        <w:footnoteReference w:id="80"/>
      </w:r>
      <w:r w:rsidRPr="004C28C4">
        <w:t>.</w:t>
      </w:r>
      <w:r w:rsidR="00C75168">
        <w:t xml:space="preserve"> Ako je potrebna suglasnost ministra za poslove obrane, rokovi za poduzimanje radnji u postupku propisani zakonom počinju teći istekom roka za davanje suglasnosti.</w:t>
      </w:r>
    </w:p>
    <w:p w:rsidR="00383BF2" w:rsidRDefault="00C75168" w:rsidP="0047305C">
      <w:pPr>
        <w:pStyle w:val="Bezproreda"/>
        <w:ind w:firstLine="705"/>
        <w:jc w:val="both"/>
      </w:pPr>
      <w:r>
        <w:t xml:space="preserve"> </w:t>
      </w:r>
    </w:p>
    <w:p w:rsidR="00C75168" w:rsidRDefault="00C75168" w:rsidP="0047305C">
      <w:pPr>
        <w:pStyle w:val="Bezproreda"/>
        <w:ind w:firstLine="705"/>
        <w:jc w:val="both"/>
      </w:pPr>
      <w:r>
        <w:t xml:space="preserve">Ako je zakonom isključena mogućnost provedbe </w:t>
      </w:r>
      <w:proofErr w:type="spellStart"/>
      <w:r>
        <w:t>predstečajnog</w:t>
      </w:r>
      <w:proofErr w:type="spellEnd"/>
      <w:r>
        <w:t xml:space="preserve"> postupka nad pravnom osobom, za njezine obveze solidarno odgovaraju njezini osnivači odnosno članovi, ali se ova obveza ne odnosi na trgovačka društva kapitala (dioničko društv</w:t>
      </w:r>
      <w:r w:rsidR="00383BF2">
        <w:t>o</w:t>
      </w:r>
      <w:r>
        <w:t xml:space="preserve"> i dr</w:t>
      </w:r>
      <w:r w:rsidR="00383BF2">
        <w:t>uštvo s o</w:t>
      </w:r>
      <w:r>
        <w:t>graničenom odgovornošću)</w:t>
      </w:r>
      <w:r w:rsidR="00383BF2">
        <w:rPr>
          <w:rStyle w:val="Referencafusnote"/>
          <w:rFonts w:cs="Arial"/>
          <w:szCs w:val="24"/>
        </w:rPr>
        <w:footnoteReference w:id="81"/>
      </w:r>
      <w:r>
        <w:t>.</w:t>
      </w:r>
    </w:p>
    <w:p w:rsidR="0047305C" w:rsidRPr="004C28C4" w:rsidRDefault="0047305C" w:rsidP="0047305C">
      <w:pPr>
        <w:pStyle w:val="Bezproreda"/>
        <w:ind w:firstLine="705"/>
        <w:jc w:val="both"/>
      </w:pPr>
    </w:p>
    <w:p w:rsidR="00F12AE5" w:rsidRDefault="00354058" w:rsidP="0047305C">
      <w:pPr>
        <w:pStyle w:val="Bezproreda"/>
        <w:ind w:firstLine="705"/>
        <w:jc w:val="both"/>
      </w:pPr>
      <w:r w:rsidRPr="004C28C4">
        <w:t xml:space="preserve">Za vrijeme </w:t>
      </w:r>
      <w:r w:rsidR="00BB5EB1">
        <w:t xml:space="preserve">postupka </w:t>
      </w:r>
      <w:r w:rsidRPr="004C28C4">
        <w:t xml:space="preserve">likvidacije pravne osobe nije dopušteno pokretanje </w:t>
      </w:r>
      <w:proofErr w:type="spellStart"/>
      <w:r w:rsidRPr="004C28C4">
        <w:t>predstečajnog</w:t>
      </w:r>
      <w:proofErr w:type="spellEnd"/>
      <w:r w:rsidRPr="004C28C4">
        <w:t xml:space="preserve"> postupka</w:t>
      </w:r>
      <w:r w:rsidRPr="004C28C4">
        <w:rPr>
          <w:rStyle w:val="Referencafusnote"/>
          <w:rFonts w:cs="Arial"/>
          <w:szCs w:val="24"/>
        </w:rPr>
        <w:footnoteReference w:id="82"/>
      </w:r>
      <w:r w:rsidR="00383BF2">
        <w:t xml:space="preserve"> pa </w:t>
      </w:r>
      <w:r w:rsidR="00261FFA" w:rsidRPr="004C28C4">
        <w:t>takav prijedlog sud treba odbaciti kao nedopušten.</w:t>
      </w:r>
    </w:p>
    <w:p w:rsidR="00354058" w:rsidRPr="004C28C4" w:rsidRDefault="00354058" w:rsidP="00354058">
      <w:pPr>
        <w:ind w:firstLine="705"/>
        <w:jc w:val="both"/>
        <w:rPr>
          <w:rFonts w:ascii="Arial" w:hAnsi="Arial" w:cs="Arial"/>
          <w:sz w:val="24"/>
          <w:szCs w:val="24"/>
        </w:rPr>
      </w:pPr>
      <w:r w:rsidRPr="004C28C4">
        <w:rPr>
          <w:rFonts w:ascii="Arial" w:hAnsi="Arial" w:cs="Arial"/>
          <w:sz w:val="24"/>
          <w:szCs w:val="24"/>
        </w:rPr>
        <w:t xml:space="preserve"> </w:t>
      </w:r>
    </w:p>
    <w:p w:rsidR="006F6DA5" w:rsidRPr="00951AD8" w:rsidRDefault="00951AD8" w:rsidP="00951AD8">
      <w:pPr>
        <w:ind w:left="709"/>
        <w:jc w:val="both"/>
        <w:rPr>
          <w:rFonts w:ascii="Arial" w:hAnsi="Arial" w:cs="Arial"/>
          <w:b/>
          <w:color w:val="000000"/>
          <w:sz w:val="24"/>
          <w:szCs w:val="24"/>
        </w:rPr>
      </w:pPr>
      <w:r>
        <w:rPr>
          <w:rFonts w:ascii="Arial" w:hAnsi="Arial" w:cs="Arial"/>
          <w:b/>
          <w:color w:val="000000"/>
          <w:sz w:val="24"/>
          <w:szCs w:val="24"/>
        </w:rPr>
        <w:t xml:space="preserve">2.1.1.2. </w:t>
      </w:r>
      <w:r w:rsidR="006F6DA5" w:rsidRPr="00951AD8">
        <w:rPr>
          <w:rFonts w:ascii="Arial" w:hAnsi="Arial" w:cs="Arial"/>
          <w:b/>
          <w:color w:val="000000"/>
          <w:sz w:val="24"/>
          <w:szCs w:val="24"/>
        </w:rPr>
        <w:t xml:space="preserve">Objava prijedloga </w:t>
      </w:r>
    </w:p>
    <w:p w:rsidR="006F6DA5" w:rsidRDefault="006F6DA5" w:rsidP="0047305C">
      <w:pPr>
        <w:pStyle w:val="Bezproreda"/>
        <w:ind w:firstLine="705"/>
        <w:jc w:val="both"/>
      </w:pPr>
      <w:r w:rsidRPr="004C28C4">
        <w:t xml:space="preserve">Prijedlog za otvaranje </w:t>
      </w:r>
      <w:proofErr w:type="spellStart"/>
      <w:r w:rsidRPr="004C28C4">
        <w:t>predstečajnog</w:t>
      </w:r>
      <w:proofErr w:type="spellEnd"/>
      <w:r w:rsidRPr="004C28C4">
        <w:t xml:space="preserve"> postupka sud će objavit na mrežnoj stranici e-Oglasna ploča sudova u roku od tri dana od dana podnošenja potpunoga prijedloga</w:t>
      </w:r>
      <w:r w:rsidRPr="004C28C4">
        <w:rPr>
          <w:rStyle w:val="Referencafusnote"/>
          <w:rFonts w:cs="Arial"/>
          <w:color w:val="000000"/>
          <w:szCs w:val="24"/>
        </w:rPr>
        <w:footnoteReference w:id="83"/>
      </w:r>
      <w:r w:rsidRPr="004C28C4">
        <w:t xml:space="preserve">. Ako prijedlog za otvaranje </w:t>
      </w:r>
      <w:proofErr w:type="spellStart"/>
      <w:r w:rsidRPr="004C28C4">
        <w:t>predstečajnog</w:t>
      </w:r>
      <w:proofErr w:type="spellEnd"/>
      <w:r w:rsidRPr="004C28C4">
        <w:t xml:space="preserve"> postupka nije potpun, sud će u roku od osam dana od podnošenja prijedloga naložiti podnositelju prijedloga da prijedlog dopuni u skladu s uputom u roku od osam dana. Rok za dopunu prijedloga ne može se produžiti. Ako podnositelj prijedloga ne dopuni prijedlog za otvaranje </w:t>
      </w:r>
      <w:proofErr w:type="spellStart"/>
      <w:r w:rsidRPr="004C28C4">
        <w:t>predstečajnog</w:t>
      </w:r>
      <w:proofErr w:type="spellEnd"/>
      <w:r w:rsidRPr="004C28C4">
        <w:t xml:space="preserve"> postupka u skladu s uputom suda i u određenom roku, sud će u roku od osam dana nakon isteka roka odbaciti prijedlog za otvaranje </w:t>
      </w:r>
      <w:proofErr w:type="spellStart"/>
      <w:r w:rsidRPr="004C28C4">
        <w:t>predste</w:t>
      </w:r>
      <w:r w:rsidR="008F6676">
        <w:t>čajnog</w:t>
      </w:r>
      <w:proofErr w:type="spellEnd"/>
      <w:r w:rsidR="008F6676">
        <w:t xml:space="preserve"> </w:t>
      </w:r>
      <w:r w:rsidRPr="004C28C4">
        <w:t>postupka</w:t>
      </w:r>
      <w:r w:rsidRPr="004C28C4">
        <w:rPr>
          <w:rStyle w:val="Referencafusnote"/>
          <w:rFonts w:cs="Arial"/>
          <w:szCs w:val="24"/>
        </w:rPr>
        <w:footnoteReference w:id="84"/>
      </w:r>
      <w:r w:rsidRPr="004C28C4">
        <w:t xml:space="preserve">. </w:t>
      </w:r>
    </w:p>
    <w:p w:rsidR="000C6A6C" w:rsidRDefault="000C6A6C" w:rsidP="0047305C">
      <w:pPr>
        <w:pStyle w:val="Bezproreda"/>
        <w:ind w:firstLine="705"/>
        <w:jc w:val="both"/>
      </w:pPr>
    </w:p>
    <w:p w:rsidR="000C6A6C" w:rsidRPr="004C28C4" w:rsidRDefault="000C6A6C" w:rsidP="0047305C">
      <w:pPr>
        <w:pStyle w:val="Bezproreda"/>
        <w:ind w:firstLine="705"/>
        <w:jc w:val="both"/>
      </w:pPr>
      <w:r>
        <w:t>Ovdje je potrebno istaknuti da sudovi ne pozivaju predlagatelja na dopunu prijedloga ako prijedlog nije podnesen na propisanom obrasci i ako ne sadrži sve što je propisano zakonom.</w:t>
      </w:r>
      <w:r>
        <w:rPr>
          <w:rStyle w:val="Referencafusnote"/>
        </w:rPr>
        <w:footnoteReference w:id="85"/>
      </w:r>
    </w:p>
    <w:p w:rsidR="00B45240" w:rsidRDefault="006F6DA5" w:rsidP="006F6DA5">
      <w:pPr>
        <w:autoSpaceDE w:val="0"/>
        <w:autoSpaceDN w:val="0"/>
        <w:adjustRightInd w:val="0"/>
        <w:spacing w:before="150" w:after="150" w:line="240" w:lineRule="auto"/>
        <w:ind w:firstLine="705"/>
        <w:jc w:val="both"/>
        <w:rPr>
          <w:rFonts w:ascii="Arial" w:hAnsi="Arial" w:cs="Arial"/>
          <w:sz w:val="24"/>
          <w:szCs w:val="24"/>
        </w:rPr>
      </w:pPr>
      <w:r w:rsidRPr="004C28C4">
        <w:rPr>
          <w:rFonts w:ascii="Arial" w:hAnsi="Arial" w:cs="Arial"/>
          <w:sz w:val="24"/>
          <w:szCs w:val="24"/>
        </w:rPr>
        <w:t xml:space="preserve">Zakon propisuje da se </w:t>
      </w:r>
      <w:r w:rsidR="000D4CEC" w:rsidRPr="004C28C4">
        <w:rPr>
          <w:rFonts w:ascii="Arial" w:hAnsi="Arial" w:cs="Arial"/>
          <w:color w:val="000000"/>
          <w:sz w:val="24"/>
          <w:szCs w:val="24"/>
        </w:rPr>
        <w:t>na mrežnoj stranici e-Oglasna ploča sudova</w:t>
      </w:r>
      <w:r w:rsidR="000D4CEC" w:rsidRPr="004C28C4">
        <w:rPr>
          <w:rFonts w:ascii="Arial" w:hAnsi="Arial" w:cs="Arial"/>
          <w:sz w:val="24"/>
          <w:szCs w:val="24"/>
        </w:rPr>
        <w:t xml:space="preserve"> </w:t>
      </w:r>
      <w:r w:rsidRPr="004C28C4">
        <w:rPr>
          <w:rFonts w:ascii="Arial" w:hAnsi="Arial" w:cs="Arial"/>
          <w:sz w:val="24"/>
          <w:szCs w:val="24"/>
        </w:rPr>
        <w:t>objavljuje samo potpuni prijedlog. Prijedlog je potpun ako sadrži sve što</w:t>
      </w:r>
      <w:r w:rsidR="000D4CEC">
        <w:rPr>
          <w:rFonts w:ascii="Arial" w:hAnsi="Arial" w:cs="Arial"/>
          <w:sz w:val="24"/>
          <w:szCs w:val="24"/>
        </w:rPr>
        <w:t xml:space="preserve"> je propisano. </w:t>
      </w:r>
      <w:r w:rsidR="00BB5EB1">
        <w:rPr>
          <w:rFonts w:ascii="Arial" w:hAnsi="Arial" w:cs="Arial"/>
          <w:sz w:val="24"/>
          <w:szCs w:val="24"/>
        </w:rPr>
        <w:t>Opravdano se postavlja pitanje j</w:t>
      </w:r>
      <w:r w:rsidR="000D4CEC">
        <w:rPr>
          <w:rFonts w:ascii="Arial" w:hAnsi="Arial" w:cs="Arial"/>
          <w:sz w:val="24"/>
          <w:szCs w:val="24"/>
        </w:rPr>
        <w:t>e li su</w:t>
      </w:r>
      <w:r w:rsidRPr="004C28C4">
        <w:rPr>
          <w:rFonts w:ascii="Arial" w:hAnsi="Arial" w:cs="Arial"/>
          <w:sz w:val="24"/>
          <w:szCs w:val="24"/>
        </w:rPr>
        <w:t>d dužan objaviti prijedlog koji nije dopušten (</w:t>
      </w:r>
      <w:r w:rsidR="00BB5EB1">
        <w:rPr>
          <w:rFonts w:ascii="Arial" w:hAnsi="Arial" w:cs="Arial"/>
          <w:sz w:val="24"/>
          <w:szCs w:val="24"/>
        </w:rPr>
        <w:t xml:space="preserve">primjera radi, </w:t>
      </w:r>
      <w:r w:rsidRPr="004C28C4">
        <w:rPr>
          <w:rFonts w:ascii="Arial" w:hAnsi="Arial" w:cs="Arial"/>
          <w:sz w:val="24"/>
          <w:szCs w:val="24"/>
        </w:rPr>
        <w:t>podnesen protiv osobe protiv koje se ne može podnijeti npr. HZZO)</w:t>
      </w:r>
      <w:r w:rsidR="00BB5EB1">
        <w:rPr>
          <w:rFonts w:ascii="Arial" w:hAnsi="Arial" w:cs="Arial"/>
          <w:sz w:val="24"/>
          <w:szCs w:val="24"/>
        </w:rPr>
        <w:t xml:space="preserve"> ?</w:t>
      </w:r>
      <w:r w:rsidRPr="004C28C4">
        <w:rPr>
          <w:rFonts w:ascii="Arial" w:hAnsi="Arial" w:cs="Arial"/>
          <w:sz w:val="24"/>
          <w:szCs w:val="24"/>
        </w:rPr>
        <w:t xml:space="preserve"> Budući da zakon nije propisao da se objavljuje potpun i dopušten prijedlog, </w:t>
      </w:r>
      <w:r w:rsidR="00BB5EB1">
        <w:rPr>
          <w:rFonts w:ascii="Arial" w:hAnsi="Arial" w:cs="Arial"/>
          <w:sz w:val="24"/>
          <w:szCs w:val="24"/>
        </w:rPr>
        <w:t xml:space="preserve">moglo bi se zaključiti da je </w:t>
      </w:r>
      <w:r w:rsidRPr="004C28C4">
        <w:rPr>
          <w:rFonts w:ascii="Arial" w:hAnsi="Arial" w:cs="Arial"/>
          <w:sz w:val="24"/>
          <w:szCs w:val="24"/>
        </w:rPr>
        <w:t>sud dužan objaviti i prijedlog koji nije dopušten.</w:t>
      </w:r>
      <w:r w:rsidR="00BB5EB1">
        <w:rPr>
          <w:rFonts w:ascii="Arial" w:hAnsi="Arial" w:cs="Arial"/>
          <w:sz w:val="24"/>
          <w:szCs w:val="24"/>
        </w:rPr>
        <w:t xml:space="preserve"> Međutim, polazeći od činjenice da postoji apsolutna zabrana podnošenja prijedloga protiv određenih pravnih osoba ipak bi se </w:t>
      </w:r>
      <w:proofErr w:type="spellStart"/>
      <w:r w:rsidR="00BB5EB1">
        <w:rPr>
          <w:rFonts w:ascii="Arial" w:hAnsi="Arial" w:cs="Arial"/>
          <w:sz w:val="24"/>
          <w:szCs w:val="24"/>
        </w:rPr>
        <w:t>opredjelili</w:t>
      </w:r>
      <w:proofErr w:type="spellEnd"/>
      <w:r w:rsidR="00BB5EB1">
        <w:rPr>
          <w:rFonts w:ascii="Arial" w:hAnsi="Arial" w:cs="Arial"/>
          <w:sz w:val="24"/>
          <w:szCs w:val="24"/>
        </w:rPr>
        <w:t xml:space="preserve"> za shvaćanje da sud </w:t>
      </w:r>
      <w:r w:rsidR="00383BF2">
        <w:rPr>
          <w:rFonts w:ascii="Arial" w:hAnsi="Arial" w:cs="Arial"/>
          <w:sz w:val="24"/>
          <w:szCs w:val="24"/>
        </w:rPr>
        <w:t xml:space="preserve">nije dužan objaviti </w:t>
      </w:r>
      <w:r w:rsidR="00BB5EB1">
        <w:rPr>
          <w:rFonts w:ascii="Arial" w:hAnsi="Arial" w:cs="Arial"/>
          <w:sz w:val="24"/>
          <w:szCs w:val="24"/>
        </w:rPr>
        <w:t xml:space="preserve">nedopušten prijedlog za otvaranje </w:t>
      </w:r>
      <w:proofErr w:type="spellStart"/>
      <w:r w:rsidR="00BB5EB1">
        <w:rPr>
          <w:rFonts w:ascii="Arial" w:hAnsi="Arial" w:cs="Arial"/>
          <w:sz w:val="24"/>
          <w:szCs w:val="24"/>
        </w:rPr>
        <w:t>predstečajnog</w:t>
      </w:r>
      <w:proofErr w:type="spellEnd"/>
      <w:r w:rsidR="00BB5EB1">
        <w:rPr>
          <w:rFonts w:ascii="Arial" w:hAnsi="Arial" w:cs="Arial"/>
          <w:sz w:val="24"/>
          <w:szCs w:val="24"/>
        </w:rPr>
        <w:t xml:space="preserve"> postupka već </w:t>
      </w:r>
      <w:r w:rsidR="00383BF2">
        <w:rPr>
          <w:rFonts w:ascii="Arial" w:hAnsi="Arial" w:cs="Arial"/>
          <w:sz w:val="24"/>
          <w:szCs w:val="24"/>
        </w:rPr>
        <w:t>isti</w:t>
      </w:r>
      <w:r w:rsidR="00BB5EB1">
        <w:rPr>
          <w:rFonts w:ascii="Arial" w:hAnsi="Arial" w:cs="Arial"/>
          <w:sz w:val="24"/>
          <w:szCs w:val="24"/>
        </w:rPr>
        <w:t xml:space="preserve"> treba odmah odbaciti i rješenje o odbačaju objaviti. </w:t>
      </w:r>
    </w:p>
    <w:p w:rsidR="006F6DA5" w:rsidRPr="004C28C4" w:rsidRDefault="00BB5EB1" w:rsidP="006F6DA5">
      <w:pPr>
        <w:autoSpaceDE w:val="0"/>
        <w:autoSpaceDN w:val="0"/>
        <w:adjustRightInd w:val="0"/>
        <w:spacing w:before="150" w:after="150" w:line="240" w:lineRule="auto"/>
        <w:ind w:firstLine="705"/>
        <w:jc w:val="both"/>
        <w:rPr>
          <w:rFonts w:ascii="Arial" w:hAnsi="Arial" w:cs="Arial"/>
          <w:sz w:val="24"/>
          <w:szCs w:val="24"/>
        </w:rPr>
      </w:pPr>
      <w:r>
        <w:rPr>
          <w:rFonts w:ascii="Arial" w:hAnsi="Arial" w:cs="Arial"/>
          <w:sz w:val="24"/>
          <w:szCs w:val="24"/>
        </w:rPr>
        <w:t xml:space="preserve"> </w:t>
      </w:r>
    </w:p>
    <w:p w:rsidR="006F6DA5" w:rsidRPr="00951AD8" w:rsidRDefault="00951AD8" w:rsidP="00951AD8">
      <w:pPr>
        <w:ind w:left="709"/>
        <w:jc w:val="both"/>
        <w:rPr>
          <w:rFonts w:ascii="Arial" w:hAnsi="Arial" w:cs="Arial"/>
          <w:b/>
          <w:sz w:val="24"/>
          <w:szCs w:val="24"/>
        </w:rPr>
      </w:pPr>
      <w:r>
        <w:rPr>
          <w:rFonts w:ascii="Arial" w:hAnsi="Arial" w:cs="Arial"/>
          <w:b/>
          <w:sz w:val="24"/>
          <w:szCs w:val="24"/>
        </w:rPr>
        <w:t xml:space="preserve">2.1.1.3. </w:t>
      </w:r>
      <w:r w:rsidR="006F6DA5" w:rsidRPr="00951AD8">
        <w:rPr>
          <w:rFonts w:ascii="Arial" w:hAnsi="Arial" w:cs="Arial"/>
          <w:b/>
          <w:sz w:val="24"/>
          <w:szCs w:val="24"/>
        </w:rPr>
        <w:t>Odbačaj prijedloga</w:t>
      </w:r>
    </w:p>
    <w:p w:rsidR="002C4707" w:rsidRDefault="004A5FC7" w:rsidP="002C4707">
      <w:pPr>
        <w:pStyle w:val="Bezproreda"/>
        <w:ind w:firstLine="708"/>
        <w:jc w:val="both"/>
      </w:pPr>
      <w:r w:rsidRPr="004C28C4">
        <w:t xml:space="preserve">U tijeku prethodnog ispitivanja prijedloga sud će </w:t>
      </w:r>
      <w:r w:rsidR="00B85B34">
        <w:t xml:space="preserve">odbaciti </w:t>
      </w:r>
      <w:r w:rsidRPr="004C28C4">
        <w:t xml:space="preserve">prijedlog za otvaranje </w:t>
      </w:r>
      <w:proofErr w:type="spellStart"/>
      <w:r w:rsidRPr="004C28C4">
        <w:t>predstečajnog</w:t>
      </w:r>
      <w:proofErr w:type="spellEnd"/>
      <w:r w:rsidRPr="004C28C4">
        <w:t xml:space="preserve"> postupka i u slijedećim slučajevima:</w:t>
      </w:r>
    </w:p>
    <w:p w:rsidR="004A5FC7" w:rsidRPr="004C28C4" w:rsidRDefault="004A5FC7" w:rsidP="002C4707">
      <w:pPr>
        <w:pStyle w:val="Bezproreda"/>
        <w:ind w:firstLine="708"/>
        <w:jc w:val="both"/>
      </w:pPr>
      <w:r w:rsidRPr="004C28C4">
        <w:t xml:space="preserve"> </w:t>
      </w:r>
    </w:p>
    <w:p w:rsidR="004A5FC7" w:rsidRDefault="004A5FC7" w:rsidP="002C4707">
      <w:pPr>
        <w:pStyle w:val="Bezproreda"/>
        <w:jc w:val="both"/>
      </w:pPr>
      <w:r w:rsidRPr="004C28C4">
        <w:t>-</w:t>
      </w:r>
      <w:r w:rsidR="000C3542" w:rsidRPr="004C28C4">
        <w:t xml:space="preserve">  </w:t>
      </w:r>
      <w:r w:rsidRPr="004C28C4">
        <w:t xml:space="preserve">ako se vodi </w:t>
      </w:r>
      <w:proofErr w:type="spellStart"/>
      <w:r w:rsidRPr="004C28C4">
        <w:t>predstečajni</w:t>
      </w:r>
      <w:proofErr w:type="spellEnd"/>
      <w:r w:rsidRPr="004C28C4">
        <w:t xml:space="preserve"> postupak na temelju prije podnesenoga prijedloga</w:t>
      </w:r>
      <w:r w:rsidR="00BE06EB" w:rsidRPr="004C28C4">
        <w:t xml:space="preserve"> – ova odredba je na određeni način u koliziji s odredbom članka 16. st</w:t>
      </w:r>
      <w:r w:rsidR="004B1F6D">
        <w:t>avak</w:t>
      </w:r>
      <w:r w:rsidR="00BE06EB" w:rsidRPr="004C28C4">
        <w:t xml:space="preserve"> 6. SZ-a koja propisuje </w:t>
      </w:r>
      <w:r w:rsidR="00261FFA" w:rsidRPr="004C28C4">
        <w:t xml:space="preserve">da će </w:t>
      </w:r>
      <w:r w:rsidR="00BE06EB" w:rsidRPr="004C28C4">
        <w:t xml:space="preserve">sud </w:t>
      </w:r>
      <w:r w:rsidR="00D45D88" w:rsidRPr="004C28C4">
        <w:t xml:space="preserve">u slučaju podnošenja dva ili </w:t>
      </w:r>
      <w:r w:rsidR="00E93E09" w:rsidRPr="004C28C4">
        <w:t xml:space="preserve">više </w:t>
      </w:r>
      <w:r w:rsidR="00BE06EB" w:rsidRPr="004C28C4">
        <w:t>prijedlog</w:t>
      </w:r>
      <w:r w:rsidR="00E93E09" w:rsidRPr="004C28C4">
        <w:t>a</w:t>
      </w:r>
      <w:r w:rsidR="00BE06EB" w:rsidRPr="004C28C4">
        <w:t xml:space="preserve"> provesti jedinstveni postupak</w:t>
      </w:r>
      <w:r w:rsidR="00D45D88" w:rsidRPr="004C28C4">
        <w:t xml:space="preserve">. Međutim, </w:t>
      </w:r>
      <w:r w:rsidR="00BE06EB" w:rsidRPr="004C28C4">
        <w:t>nije jasno kada će sud jedan od više prijedloga odbaciti</w:t>
      </w:r>
      <w:r w:rsidR="004B1F6D">
        <w:t>,</w:t>
      </w:r>
      <w:r w:rsidR="00BE06EB" w:rsidRPr="004C28C4">
        <w:t xml:space="preserve"> a kada </w:t>
      </w:r>
      <w:r w:rsidR="009D1ADB" w:rsidRPr="004C28C4">
        <w:t xml:space="preserve">će provesti jedinstven postupak. </w:t>
      </w:r>
      <w:r w:rsidR="009404F8" w:rsidRPr="004C28C4">
        <w:t xml:space="preserve">Čini se da bi odluka suda o kasnije podnesenom prijedlogu ovisila o </w:t>
      </w:r>
      <w:r w:rsidR="00D45D88" w:rsidRPr="004C28C4">
        <w:t>stadiju u kojem se nalaz</w:t>
      </w:r>
      <w:r w:rsidR="009404F8" w:rsidRPr="004C28C4">
        <w:t>i</w:t>
      </w:r>
      <w:r w:rsidR="00D45D88" w:rsidRPr="004C28C4">
        <w:t xml:space="preserve"> </w:t>
      </w:r>
      <w:proofErr w:type="spellStart"/>
      <w:r w:rsidR="009404F8" w:rsidRPr="004C28C4">
        <w:t>pred</w:t>
      </w:r>
      <w:r w:rsidR="004B1F6D">
        <w:t>s</w:t>
      </w:r>
      <w:r w:rsidR="009404F8" w:rsidRPr="004C28C4">
        <w:t>tečajni</w:t>
      </w:r>
      <w:proofErr w:type="spellEnd"/>
      <w:r w:rsidR="009404F8" w:rsidRPr="004C28C4">
        <w:t xml:space="preserve"> postupak pokrenut po ranijem prijedlogu. </w:t>
      </w:r>
      <w:r w:rsidR="00D45D88" w:rsidRPr="004C28C4">
        <w:t xml:space="preserve">Ako je sud u jednom </w:t>
      </w:r>
      <w:r w:rsidR="008F6676">
        <w:t>predmetu</w:t>
      </w:r>
      <w:r w:rsidR="00D45D88" w:rsidRPr="004C28C4">
        <w:t xml:space="preserve"> donio rješenje o otvaranju </w:t>
      </w:r>
      <w:proofErr w:type="spellStart"/>
      <w:r w:rsidR="00D45D88" w:rsidRPr="004C28C4">
        <w:t>predstečajnog</w:t>
      </w:r>
      <w:proofErr w:type="spellEnd"/>
      <w:r w:rsidR="00D45D88" w:rsidRPr="004C28C4">
        <w:t xml:space="preserve"> postupka pa nakon toga primi novi prijedlog, takav prijedlog bi trebalo odbaciti. Međutim, ako sud još nije donio odluku o prvom prijedlogu za otvaranje </w:t>
      </w:r>
      <w:proofErr w:type="spellStart"/>
      <w:r w:rsidR="00D45D88" w:rsidRPr="004C28C4">
        <w:t>predstečajnog</w:t>
      </w:r>
      <w:proofErr w:type="spellEnd"/>
      <w:r w:rsidR="00D45D88" w:rsidRPr="004C28C4">
        <w:t xml:space="preserve"> postupka pa primi drugi prijedlog</w:t>
      </w:r>
      <w:r w:rsidR="009404F8" w:rsidRPr="004C28C4">
        <w:t>,</w:t>
      </w:r>
      <w:r w:rsidR="00D45D88" w:rsidRPr="004C28C4">
        <w:t xml:space="preserve"> trebao bi provesti jedins</w:t>
      </w:r>
      <w:r w:rsidR="009404F8" w:rsidRPr="004C28C4">
        <w:t>tven postupak po oba prijedloga</w:t>
      </w:r>
      <w:r w:rsidR="00EE161B">
        <w:t>.</w:t>
      </w:r>
    </w:p>
    <w:p w:rsidR="002C4707" w:rsidRPr="004C28C4" w:rsidRDefault="002C4707" w:rsidP="002C4707">
      <w:pPr>
        <w:pStyle w:val="Bezproreda"/>
        <w:jc w:val="both"/>
      </w:pPr>
    </w:p>
    <w:p w:rsidR="004A5FC7" w:rsidRDefault="004A5FC7" w:rsidP="002C4707">
      <w:pPr>
        <w:pStyle w:val="Bezproreda"/>
        <w:jc w:val="both"/>
      </w:pPr>
      <w:r w:rsidRPr="004C28C4">
        <w:t xml:space="preserve">- ako nije istekao rok od dvije godine od ispunjenja obveza iz prije potvrđenoga </w:t>
      </w:r>
      <w:proofErr w:type="spellStart"/>
      <w:r w:rsidRPr="004C28C4">
        <w:t>predstečajnog</w:t>
      </w:r>
      <w:proofErr w:type="spellEnd"/>
      <w:r w:rsidRPr="004C28C4">
        <w:t xml:space="preserve"> sporazuma ili </w:t>
      </w:r>
      <w:proofErr w:type="spellStart"/>
      <w:r w:rsidRPr="004C28C4">
        <w:t>prestečajne</w:t>
      </w:r>
      <w:proofErr w:type="spellEnd"/>
      <w:r w:rsidRPr="004C28C4">
        <w:t xml:space="preserve"> nagodb</w:t>
      </w:r>
      <w:r w:rsidR="00EE161B">
        <w:t xml:space="preserve">e sklopljene na temelju ZFPPN-a – potrebno ukazati na pojavu da pravne osobe koje nakon sklapanje </w:t>
      </w:r>
      <w:proofErr w:type="spellStart"/>
      <w:r w:rsidR="00EE161B">
        <w:t>predstečen</w:t>
      </w:r>
      <w:r w:rsidR="00F504CE">
        <w:t>e</w:t>
      </w:r>
      <w:proofErr w:type="spellEnd"/>
      <w:r w:rsidR="00F504CE">
        <w:t xml:space="preserve"> nagodbe</w:t>
      </w:r>
      <w:r w:rsidR="00EE161B">
        <w:t xml:space="preserve">, a prije ispunjenja </w:t>
      </w:r>
      <w:proofErr w:type="spellStart"/>
      <w:r w:rsidR="00EE161B">
        <w:t>obeveza</w:t>
      </w:r>
      <w:proofErr w:type="spellEnd"/>
      <w:r w:rsidR="00EE161B">
        <w:t xml:space="preserve"> preuzetih </w:t>
      </w:r>
      <w:r w:rsidR="00F504CE">
        <w:t>nagodbom</w:t>
      </w:r>
      <w:r w:rsidR="00EE161B">
        <w:t xml:space="preserve"> i prije proteka dvije godine od ispunjenja obveza, provode određene statusne promjene (</w:t>
      </w:r>
      <w:proofErr w:type="spellStart"/>
      <w:r w:rsidR="00EE161B">
        <w:t>nrp</w:t>
      </w:r>
      <w:proofErr w:type="spellEnd"/>
      <w:r w:rsidR="00EE161B">
        <w:t xml:space="preserve">. spajanja, pripajanja i slično). Sporno je pitanje može li pravna osoba kojoj se pripojila osoba koja je sklopila </w:t>
      </w:r>
      <w:proofErr w:type="spellStart"/>
      <w:r w:rsidR="00EE161B">
        <w:t>predstečajni</w:t>
      </w:r>
      <w:proofErr w:type="spellEnd"/>
      <w:r w:rsidR="00EE161B">
        <w:t xml:space="preserve"> </w:t>
      </w:r>
      <w:r w:rsidR="00F504CE">
        <w:t>nagodbu</w:t>
      </w:r>
      <w:r w:rsidR="00EE161B">
        <w:t xml:space="preserve"> </w:t>
      </w:r>
      <w:r w:rsidR="006B559D">
        <w:t xml:space="preserve">ili sporazum </w:t>
      </w:r>
      <w:r w:rsidR="00EE161B">
        <w:t xml:space="preserve">pokrenuti </w:t>
      </w:r>
      <w:proofErr w:type="spellStart"/>
      <w:r w:rsidR="00EE161B">
        <w:t>predstečajni</w:t>
      </w:r>
      <w:proofErr w:type="spellEnd"/>
      <w:r w:rsidR="00EE161B">
        <w:t xml:space="preserve"> postupak iako nije </w:t>
      </w:r>
      <w:r w:rsidR="00EE161B">
        <w:lastRenderedPageBreak/>
        <w:t>protekao rok od dvije godine od ispunjenja obveza iz potvrđen</w:t>
      </w:r>
      <w:r w:rsidR="00F504CE">
        <w:t>e</w:t>
      </w:r>
      <w:r w:rsidR="00EE161B">
        <w:t xml:space="preserve"> </w:t>
      </w:r>
      <w:proofErr w:type="spellStart"/>
      <w:r w:rsidR="00EE161B">
        <w:t>predstečajn</w:t>
      </w:r>
      <w:r w:rsidR="00F504CE">
        <w:t>e</w:t>
      </w:r>
      <w:proofErr w:type="spellEnd"/>
      <w:r w:rsidR="00F504CE">
        <w:t xml:space="preserve"> nagodbe</w:t>
      </w:r>
      <w:r w:rsidR="00EE161B">
        <w:t xml:space="preserve">. </w:t>
      </w:r>
      <w:r w:rsidR="00F504CE">
        <w:t>U s</w:t>
      </w:r>
      <w:r w:rsidR="00EE161B">
        <w:t>udsk</w:t>
      </w:r>
      <w:r w:rsidR="00F504CE">
        <w:t>oj</w:t>
      </w:r>
      <w:r w:rsidR="00EE161B">
        <w:t xml:space="preserve"> praks</w:t>
      </w:r>
      <w:r w:rsidR="00F504CE">
        <w:t>i postoje odluke u kojima su prihvaćena kontradiktorna shvaćanja.</w:t>
      </w:r>
      <w:r w:rsidR="00F504CE">
        <w:rPr>
          <w:rStyle w:val="Referencafusnote"/>
        </w:rPr>
        <w:footnoteReference w:id="86"/>
      </w:r>
      <w:r w:rsidR="00F504CE">
        <w:t xml:space="preserve"> Osobno vjerujemo da se zabrana </w:t>
      </w:r>
      <w:r w:rsidR="00EE161B">
        <w:t xml:space="preserve">pokretanja </w:t>
      </w:r>
      <w:proofErr w:type="spellStart"/>
      <w:r w:rsidR="00EE161B">
        <w:t>preds</w:t>
      </w:r>
      <w:r w:rsidR="008E6F33">
        <w:t>tečajnog</w:t>
      </w:r>
      <w:proofErr w:type="spellEnd"/>
      <w:r w:rsidR="008E6F33">
        <w:t xml:space="preserve"> postupka odnosi i </w:t>
      </w:r>
      <w:r w:rsidR="00F504CE">
        <w:t xml:space="preserve">na </w:t>
      </w:r>
      <w:r w:rsidR="008E6F33">
        <w:t>prav</w:t>
      </w:r>
      <w:r w:rsidR="00EE161B">
        <w:t xml:space="preserve">nu osobu kojoj je pripojena pravna osoba koja je sklopila </w:t>
      </w:r>
      <w:proofErr w:type="spellStart"/>
      <w:r w:rsidR="00EE161B">
        <w:t>predstečajn</w:t>
      </w:r>
      <w:r w:rsidR="00F504CE">
        <w:t>u</w:t>
      </w:r>
      <w:proofErr w:type="spellEnd"/>
      <w:r w:rsidR="00F504CE">
        <w:t xml:space="preserve"> nagodbu</w:t>
      </w:r>
      <w:r w:rsidR="00EE161B">
        <w:t xml:space="preserve">. </w:t>
      </w:r>
    </w:p>
    <w:p w:rsidR="002C4707" w:rsidRPr="004C28C4" w:rsidRDefault="002C4707" w:rsidP="002C4707">
      <w:pPr>
        <w:pStyle w:val="Bezproreda"/>
        <w:jc w:val="both"/>
      </w:pPr>
    </w:p>
    <w:p w:rsidR="004A5FC7" w:rsidRDefault="004A5FC7" w:rsidP="002C4707">
      <w:pPr>
        <w:pStyle w:val="Bezproreda"/>
        <w:jc w:val="both"/>
      </w:pPr>
      <w:r w:rsidRPr="004C28C4">
        <w:t>- ako prijedlog nije podnesen od ovlaštenog podnositelja prijedloga</w:t>
      </w:r>
      <w:r w:rsidR="00CB2118" w:rsidRPr="004C28C4">
        <w:t xml:space="preserve"> (npr. prijedlog podnio vjerovnik bez dužnikove suglasnosti</w:t>
      </w:r>
      <w:r w:rsidR="00D45D88" w:rsidRPr="004C28C4">
        <w:t>; u ime dužnika prijedlog podnijela neovlaštena osoba</w:t>
      </w:r>
      <w:r w:rsidR="00CB2118" w:rsidRPr="004C28C4">
        <w:t>)</w:t>
      </w:r>
      <w:r w:rsidRPr="004C28C4">
        <w:t>,</w:t>
      </w:r>
    </w:p>
    <w:p w:rsidR="002C4707" w:rsidRPr="004C28C4" w:rsidRDefault="002C4707" w:rsidP="002C4707">
      <w:pPr>
        <w:pStyle w:val="Bezproreda"/>
        <w:jc w:val="both"/>
      </w:pPr>
    </w:p>
    <w:p w:rsidR="00CB2118" w:rsidRPr="004C28C4" w:rsidRDefault="004A5FC7" w:rsidP="002C4707">
      <w:pPr>
        <w:pStyle w:val="Bezproreda"/>
        <w:jc w:val="both"/>
      </w:pPr>
      <w:r w:rsidRPr="004C28C4">
        <w:t>- ako se pred sudom ili javnopravnim tijelom vodi postupak u kojem je dužnik stranka, a koji postupak dužnik nije naveo u popisu imovine i obveza dužnika iako je znao ili morao znati za njegovo postojanje</w:t>
      </w:r>
      <w:r w:rsidR="00F60DD8" w:rsidRPr="004C28C4">
        <w:t xml:space="preserve"> –</w:t>
      </w:r>
      <w:r w:rsidR="007C06AD">
        <w:t xml:space="preserve"> </w:t>
      </w:r>
      <w:r w:rsidR="00F60DD8" w:rsidRPr="004C28C4">
        <w:t>postavlja se pitanje o koj</w:t>
      </w:r>
      <w:r w:rsidR="00CB2118" w:rsidRPr="004C28C4">
        <w:t>e</w:t>
      </w:r>
      <w:r w:rsidR="00F60DD8" w:rsidRPr="004C28C4">
        <w:t>m je postup</w:t>
      </w:r>
      <w:r w:rsidR="00CB2118" w:rsidRPr="004C28C4">
        <w:t>ku</w:t>
      </w:r>
      <w:r w:rsidR="00F60DD8" w:rsidRPr="004C28C4">
        <w:t xml:space="preserve"> riječ. Jesu li to </w:t>
      </w:r>
      <w:r w:rsidR="00CB2118" w:rsidRPr="004C28C4">
        <w:t xml:space="preserve">samo </w:t>
      </w:r>
      <w:r w:rsidR="00F60DD8" w:rsidRPr="004C28C4">
        <w:t>imov</w:t>
      </w:r>
      <w:r w:rsidR="000C3542" w:rsidRPr="004C28C4">
        <w:t>i</w:t>
      </w:r>
      <w:r w:rsidR="00F60DD8" w:rsidRPr="004C28C4">
        <w:t xml:space="preserve">nski </w:t>
      </w:r>
      <w:r w:rsidR="00CB2118" w:rsidRPr="004C28C4">
        <w:t>sporovi</w:t>
      </w:r>
      <w:r w:rsidR="00F60DD8" w:rsidRPr="004C28C4">
        <w:t xml:space="preserve"> ili </w:t>
      </w:r>
      <w:r w:rsidR="00CB2118" w:rsidRPr="004C28C4">
        <w:t xml:space="preserve">svi drugi sporovi </w:t>
      </w:r>
      <w:r w:rsidR="00F60DD8" w:rsidRPr="004C28C4">
        <w:t>koji se vode protiv pravne osob</w:t>
      </w:r>
      <w:r w:rsidR="00CB2118" w:rsidRPr="004C28C4">
        <w:t>e</w:t>
      </w:r>
      <w:r w:rsidR="00261FFA" w:rsidRPr="004C28C4">
        <w:t xml:space="preserve"> </w:t>
      </w:r>
      <w:r w:rsidR="00CB2118" w:rsidRPr="004C28C4">
        <w:t xml:space="preserve">(npr. kazneni, prekršajni i slični). U popisu imovine i obveza dužnik mora među inim podacima navesti </w:t>
      </w:r>
      <w:r w:rsidR="00261FFA" w:rsidRPr="004C28C4">
        <w:t xml:space="preserve">i </w:t>
      </w:r>
      <w:r w:rsidR="00CB2118" w:rsidRPr="004C28C4">
        <w:t>postupke pred sudovima ili javnopravnim tijelima u kojima je dužnik stranka i visinu ili opis tražbine koja je predmet postupka</w:t>
      </w:r>
      <w:r w:rsidR="00CB2118" w:rsidRPr="004C28C4">
        <w:rPr>
          <w:rStyle w:val="Referencafusnote"/>
          <w:rFonts w:cs="Arial"/>
          <w:szCs w:val="24"/>
        </w:rPr>
        <w:footnoteReference w:id="87"/>
      </w:r>
      <w:r w:rsidR="00CB2118" w:rsidRPr="004C28C4">
        <w:t xml:space="preserve">. Primjera radi u kaznenom postupku koji se vodi protiv dužnika državni odvjetnik </w:t>
      </w:r>
      <w:r w:rsidR="008E6F33">
        <w:t xml:space="preserve">može </w:t>
      </w:r>
      <w:r w:rsidR="00CB2118" w:rsidRPr="004C28C4">
        <w:t>stavi</w:t>
      </w:r>
      <w:r w:rsidR="008E6F33">
        <w:t>ti</w:t>
      </w:r>
      <w:r w:rsidR="00CB2118" w:rsidRPr="004C28C4">
        <w:t xml:space="preserve"> zahtjev za povrat imovine stečene kaznenim djelom</w:t>
      </w:r>
      <w:r w:rsidR="008E6F33">
        <w:t xml:space="preserve"> pa </w:t>
      </w:r>
      <w:r w:rsidR="00CB2118" w:rsidRPr="004C28C4">
        <w:t xml:space="preserve">dužnik i ovaj postupak </w:t>
      </w:r>
      <w:r w:rsidR="008E6F33">
        <w:t xml:space="preserve">mora </w:t>
      </w:r>
      <w:r w:rsidR="00CB2118" w:rsidRPr="004C28C4">
        <w:t>navesti u popisu imovine i obveza</w:t>
      </w:r>
      <w:r w:rsidR="00CB2118" w:rsidRPr="004C28C4">
        <w:rPr>
          <w:rStyle w:val="Referencafusnote"/>
          <w:rFonts w:cs="Arial"/>
          <w:szCs w:val="24"/>
        </w:rPr>
        <w:footnoteReference w:id="88"/>
      </w:r>
      <w:r w:rsidR="00CB2118" w:rsidRPr="004C28C4">
        <w:t xml:space="preserve">. </w:t>
      </w:r>
    </w:p>
    <w:p w:rsidR="006B340E" w:rsidRDefault="006B340E" w:rsidP="002C4707">
      <w:pPr>
        <w:pStyle w:val="Bezproreda"/>
        <w:jc w:val="both"/>
      </w:pPr>
      <w:r w:rsidRPr="004C28C4">
        <w:t>- u drugim slučajevima propisanim Zakonom.</w:t>
      </w:r>
    </w:p>
    <w:p w:rsidR="00F12AE5" w:rsidRPr="004C28C4" w:rsidRDefault="00F12AE5" w:rsidP="00FD215A">
      <w:pPr>
        <w:pStyle w:val="Tekstfusnote"/>
        <w:ind w:firstLine="705"/>
        <w:jc w:val="both"/>
        <w:rPr>
          <w:rFonts w:ascii="Arial" w:hAnsi="Arial" w:cs="Arial"/>
          <w:sz w:val="24"/>
          <w:szCs w:val="24"/>
        </w:rPr>
      </w:pPr>
    </w:p>
    <w:p w:rsidR="006B340E" w:rsidRPr="004C28C4" w:rsidRDefault="006B340E" w:rsidP="00FD215A">
      <w:pPr>
        <w:pStyle w:val="Tekstfusnote"/>
        <w:ind w:firstLine="705"/>
        <w:jc w:val="both"/>
        <w:rPr>
          <w:rFonts w:ascii="Arial" w:hAnsi="Arial" w:cs="Arial"/>
          <w:sz w:val="24"/>
          <w:szCs w:val="24"/>
        </w:rPr>
      </w:pPr>
    </w:p>
    <w:p w:rsidR="006F6DA5" w:rsidRPr="00B45240" w:rsidRDefault="00951AD8" w:rsidP="00951AD8">
      <w:pPr>
        <w:pStyle w:val="Tekstfusnote"/>
        <w:jc w:val="both"/>
        <w:rPr>
          <w:rFonts w:ascii="Arial" w:hAnsi="Arial" w:cs="Arial"/>
          <w:b/>
          <w:sz w:val="24"/>
          <w:szCs w:val="24"/>
        </w:rPr>
      </w:pPr>
      <w:r>
        <w:rPr>
          <w:rFonts w:ascii="Arial" w:hAnsi="Arial" w:cs="Arial"/>
          <w:b/>
          <w:sz w:val="24"/>
          <w:szCs w:val="24"/>
        </w:rPr>
        <w:t xml:space="preserve">   2.1.1.4. </w:t>
      </w:r>
      <w:r w:rsidR="006F6DA5" w:rsidRPr="00B45240">
        <w:rPr>
          <w:rFonts w:ascii="Arial" w:hAnsi="Arial" w:cs="Arial"/>
          <w:b/>
          <w:sz w:val="24"/>
          <w:szCs w:val="24"/>
        </w:rPr>
        <w:t>Nastavak postupka kao da je podnesen prijedlog za otvaranje stečajnog postupka</w:t>
      </w:r>
    </w:p>
    <w:p w:rsidR="006F6DA5" w:rsidRPr="00B45240" w:rsidRDefault="006F6DA5" w:rsidP="006F6DA5">
      <w:pPr>
        <w:pStyle w:val="Tekstfusnote"/>
        <w:ind w:left="1070"/>
        <w:jc w:val="both"/>
        <w:rPr>
          <w:rFonts w:ascii="Arial" w:hAnsi="Arial" w:cs="Arial"/>
          <w:sz w:val="24"/>
          <w:szCs w:val="24"/>
        </w:rPr>
      </w:pPr>
    </w:p>
    <w:p w:rsidR="00747947" w:rsidRDefault="00300FB1" w:rsidP="008E6F33">
      <w:pPr>
        <w:autoSpaceDE w:val="0"/>
        <w:autoSpaceDN w:val="0"/>
        <w:adjustRightInd w:val="0"/>
        <w:spacing w:before="150" w:after="150" w:line="240" w:lineRule="auto"/>
        <w:ind w:firstLine="705"/>
        <w:jc w:val="both"/>
        <w:rPr>
          <w:rFonts w:ascii="Arial" w:hAnsi="Arial" w:cs="Arial"/>
          <w:sz w:val="24"/>
          <w:szCs w:val="24"/>
        </w:rPr>
      </w:pPr>
      <w:r w:rsidRPr="00300FB1">
        <w:rPr>
          <w:rFonts w:ascii="Arial" w:hAnsi="Arial" w:cs="Arial"/>
          <w:sz w:val="24"/>
          <w:szCs w:val="24"/>
        </w:rPr>
        <w:t>Ako sud odbaci prijedl</w:t>
      </w:r>
      <w:r w:rsidR="008E6F33">
        <w:rPr>
          <w:rFonts w:ascii="Arial" w:hAnsi="Arial" w:cs="Arial"/>
          <w:sz w:val="24"/>
          <w:szCs w:val="24"/>
        </w:rPr>
        <w:t xml:space="preserve">og za otvaranje </w:t>
      </w:r>
      <w:proofErr w:type="spellStart"/>
      <w:r w:rsidR="008E6F33">
        <w:rPr>
          <w:rFonts w:ascii="Arial" w:hAnsi="Arial" w:cs="Arial"/>
          <w:sz w:val="24"/>
          <w:szCs w:val="24"/>
        </w:rPr>
        <w:t>predstečajnog</w:t>
      </w:r>
      <w:proofErr w:type="spellEnd"/>
      <w:r w:rsidR="008E6F33">
        <w:rPr>
          <w:rFonts w:ascii="Arial" w:hAnsi="Arial" w:cs="Arial"/>
          <w:sz w:val="24"/>
          <w:szCs w:val="24"/>
        </w:rPr>
        <w:t xml:space="preserve"> p</w:t>
      </w:r>
      <w:r w:rsidRPr="00300FB1">
        <w:rPr>
          <w:rFonts w:ascii="Arial" w:hAnsi="Arial" w:cs="Arial"/>
          <w:sz w:val="24"/>
          <w:szCs w:val="24"/>
        </w:rPr>
        <w:t>o</w:t>
      </w:r>
      <w:r w:rsidR="008E6F33">
        <w:rPr>
          <w:rFonts w:ascii="Arial" w:hAnsi="Arial" w:cs="Arial"/>
          <w:sz w:val="24"/>
          <w:szCs w:val="24"/>
        </w:rPr>
        <w:t>s</w:t>
      </w:r>
      <w:r w:rsidRPr="00300FB1">
        <w:rPr>
          <w:rFonts w:ascii="Arial" w:hAnsi="Arial" w:cs="Arial"/>
          <w:sz w:val="24"/>
          <w:szCs w:val="24"/>
        </w:rPr>
        <w:t>tupka i utvrdi da su ispunjene pretpostavke za otvaranje stečajnog postupka, nastavit će postupak kao da je podnesen prijedlog za otvaranje stečajnog postupka</w:t>
      </w:r>
      <w:r>
        <w:rPr>
          <w:rStyle w:val="Referencafusnote"/>
          <w:rFonts w:ascii="Arial" w:hAnsi="Arial" w:cs="Arial"/>
          <w:sz w:val="24"/>
          <w:szCs w:val="24"/>
        </w:rPr>
        <w:footnoteReference w:id="89"/>
      </w:r>
      <w:r w:rsidRPr="00300FB1">
        <w:rPr>
          <w:rFonts w:ascii="Arial" w:hAnsi="Arial" w:cs="Arial"/>
          <w:sz w:val="24"/>
          <w:szCs w:val="24"/>
        </w:rPr>
        <w:t xml:space="preserve">. </w:t>
      </w:r>
    </w:p>
    <w:p w:rsidR="006B340E" w:rsidRPr="00B45240" w:rsidRDefault="000A6239" w:rsidP="00563715">
      <w:pPr>
        <w:autoSpaceDE w:val="0"/>
        <w:autoSpaceDN w:val="0"/>
        <w:adjustRightInd w:val="0"/>
        <w:spacing w:before="150" w:after="150" w:line="240" w:lineRule="auto"/>
        <w:ind w:firstLine="705"/>
        <w:jc w:val="both"/>
        <w:rPr>
          <w:rFonts w:ascii="Arial" w:hAnsi="Arial" w:cs="Arial"/>
          <w:sz w:val="24"/>
          <w:szCs w:val="24"/>
        </w:rPr>
      </w:pPr>
      <w:r w:rsidRPr="00B45240">
        <w:rPr>
          <w:rFonts w:ascii="Arial" w:hAnsi="Arial" w:cs="Arial"/>
          <w:sz w:val="24"/>
          <w:szCs w:val="24"/>
        </w:rPr>
        <w:t xml:space="preserve">Stupanjem na snagu ZIDSZ-a </w:t>
      </w:r>
      <w:r w:rsidR="00300FB1">
        <w:rPr>
          <w:rFonts w:ascii="Arial" w:hAnsi="Arial" w:cs="Arial"/>
          <w:sz w:val="24"/>
          <w:szCs w:val="24"/>
        </w:rPr>
        <w:t>brisana je odredba članka 32. s</w:t>
      </w:r>
      <w:r w:rsidRPr="00B45240">
        <w:rPr>
          <w:rFonts w:ascii="Arial" w:hAnsi="Arial" w:cs="Arial"/>
          <w:sz w:val="24"/>
          <w:szCs w:val="24"/>
        </w:rPr>
        <w:t>tavak 2. SZ-a</w:t>
      </w:r>
      <w:r w:rsidR="00300FB1">
        <w:rPr>
          <w:rFonts w:ascii="Arial" w:hAnsi="Arial" w:cs="Arial"/>
          <w:sz w:val="24"/>
          <w:szCs w:val="24"/>
        </w:rPr>
        <w:t>.</w:t>
      </w:r>
      <w:r w:rsidR="008E6F33">
        <w:rPr>
          <w:rFonts w:ascii="Arial" w:hAnsi="Arial" w:cs="Arial"/>
          <w:sz w:val="24"/>
          <w:szCs w:val="24"/>
        </w:rPr>
        <w:t xml:space="preserve"> </w:t>
      </w:r>
      <w:r w:rsidR="00B41BAD" w:rsidRPr="00B45240">
        <w:rPr>
          <w:rFonts w:ascii="Arial" w:hAnsi="Arial" w:cs="Arial"/>
          <w:sz w:val="24"/>
          <w:szCs w:val="24"/>
        </w:rPr>
        <w:t xml:space="preserve">U odnosu na prijedloge za otvaranje </w:t>
      </w:r>
      <w:proofErr w:type="spellStart"/>
      <w:r w:rsidR="00B41BAD" w:rsidRPr="00B45240">
        <w:rPr>
          <w:rFonts w:ascii="Arial" w:hAnsi="Arial" w:cs="Arial"/>
          <w:sz w:val="24"/>
          <w:szCs w:val="24"/>
        </w:rPr>
        <w:t>predstečajnog</w:t>
      </w:r>
      <w:proofErr w:type="spellEnd"/>
      <w:r w:rsidR="00B41BAD" w:rsidRPr="00B45240">
        <w:rPr>
          <w:rFonts w:ascii="Arial" w:hAnsi="Arial" w:cs="Arial"/>
          <w:sz w:val="24"/>
          <w:szCs w:val="24"/>
        </w:rPr>
        <w:t xml:space="preserve"> postupka podnesene do 1. studenoga 2017. </w:t>
      </w:r>
      <w:r w:rsidRPr="00B45240">
        <w:rPr>
          <w:rFonts w:ascii="Arial" w:hAnsi="Arial" w:cs="Arial"/>
          <w:sz w:val="24"/>
          <w:szCs w:val="24"/>
        </w:rPr>
        <w:t>v</w:t>
      </w:r>
      <w:r w:rsidR="00B41BAD" w:rsidRPr="00B45240">
        <w:rPr>
          <w:rFonts w:ascii="Arial" w:hAnsi="Arial" w:cs="Arial"/>
          <w:sz w:val="24"/>
          <w:szCs w:val="24"/>
        </w:rPr>
        <w:t>aži odredba članka 32. stavak 2. SZ-a</w:t>
      </w:r>
      <w:r w:rsidR="00300FB1">
        <w:rPr>
          <w:rFonts w:ascii="Arial" w:hAnsi="Arial" w:cs="Arial"/>
          <w:sz w:val="24"/>
          <w:szCs w:val="24"/>
        </w:rPr>
        <w:t>.</w:t>
      </w:r>
      <w:r w:rsidR="00B41BAD" w:rsidRPr="00B45240">
        <w:rPr>
          <w:rFonts w:ascii="Arial" w:hAnsi="Arial" w:cs="Arial"/>
          <w:sz w:val="24"/>
          <w:szCs w:val="24"/>
        </w:rPr>
        <w:t xml:space="preserve"> </w:t>
      </w:r>
      <w:r w:rsidRPr="00B45240">
        <w:rPr>
          <w:rFonts w:ascii="Arial" w:hAnsi="Arial" w:cs="Arial"/>
          <w:sz w:val="24"/>
          <w:szCs w:val="24"/>
        </w:rPr>
        <w:t xml:space="preserve">Zbog činjenica da se odredba ipak može primijeniti u određenim </w:t>
      </w:r>
      <w:proofErr w:type="spellStart"/>
      <w:r w:rsidRPr="00B45240">
        <w:rPr>
          <w:rFonts w:ascii="Arial" w:hAnsi="Arial" w:cs="Arial"/>
          <w:sz w:val="24"/>
          <w:szCs w:val="24"/>
        </w:rPr>
        <w:t>predstečajnim</w:t>
      </w:r>
      <w:proofErr w:type="spellEnd"/>
      <w:r w:rsidRPr="00B45240">
        <w:rPr>
          <w:rFonts w:ascii="Arial" w:hAnsi="Arial" w:cs="Arial"/>
          <w:sz w:val="24"/>
          <w:szCs w:val="24"/>
        </w:rPr>
        <w:t xml:space="preserve"> postupcima izložiti ćemo neka pitanja i dileme koje se javl</w:t>
      </w:r>
      <w:r w:rsidR="00300FB1">
        <w:rPr>
          <w:rFonts w:ascii="Arial" w:hAnsi="Arial" w:cs="Arial"/>
          <w:sz w:val="24"/>
          <w:szCs w:val="24"/>
        </w:rPr>
        <w:t>j</w:t>
      </w:r>
      <w:r w:rsidRPr="00B45240">
        <w:rPr>
          <w:rFonts w:ascii="Arial" w:hAnsi="Arial" w:cs="Arial"/>
          <w:sz w:val="24"/>
          <w:szCs w:val="24"/>
        </w:rPr>
        <w:t>aju u primjeni navedene odredbe.</w:t>
      </w:r>
    </w:p>
    <w:p w:rsidR="00FD215A" w:rsidRPr="00B45240" w:rsidRDefault="00E93E09" w:rsidP="00FD215A">
      <w:pPr>
        <w:pStyle w:val="Tekstfusnote"/>
        <w:ind w:firstLine="705"/>
        <w:jc w:val="both"/>
        <w:rPr>
          <w:rFonts w:ascii="Arial" w:hAnsi="Arial" w:cs="Arial"/>
          <w:sz w:val="24"/>
          <w:szCs w:val="24"/>
        </w:rPr>
      </w:pPr>
      <w:r w:rsidRPr="00B45240">
        <w:rPr>
          <w:rFonts w:ascii="Arial" w:hAnsi="Arial" w:cs="Arial"/>
          <w:sz w:val="24"/>
          <w:szCs w:val="24"/>
        </w:rPr>
        <w:t>U</w:t>
      </w:r>
      <w:r w:rsidR="00605DB0" w:rsidRPr="00B45240">
        <w:rPr>
          <w:rFonts w:ascii="Arial" w:hAnsi="Arial" w:cs="Arial"/>
          <w:sz w:val="24"/>
          <w:szCs w:val="24"/>
        </w:rPr>
        <w:t xml:space="preserve"> nekim slučajevima odba</w:t>
      </w:r>
      <w:r w:rsidRPr="00B45240">
        <w:rPr>
          <w:rFonts w:ascii="Arial" w:hAnsi="Arial" w:cs="Arial"/>
          <w:sz w:val="24"/>
          <w:szCs w:val="24"/>
        </w:rPr>
        <w:t>ci</w:t>
      </w:r>
      <w:r w:rsidR="00A46BD4" w:rsidRPr="00B45240">
        <w:rPr>
          <w:rFonts w:ascii="Arial" w:hAnsi="Arial" w:cs="Arial"/>
          <w:sz w:val="24"/>
          <w:szCs w:val="24"/>
        </w:rPr>
        <w:t>vanja</w:t>
      </w:r>
      <w:r w:rsidR="00605DB0" w:rsidRPr="00B45240">
        <w:rPr>
          <w:rFonts w:ascii="Arial" w:hAnsi="Arial" w:cs="Arial"/>
          <w:sz w:val="24"/>
          <w:szCs w:val="24"/>
        </w:rPr>
        <w:t xml:space="preserve"> prijedlog za otvaranje </w:t>
      </w:r>
      <w:proofErr w:type="spellStart"/>
      <w:r w:rsidR="00605DB0" w:rsidRPr="00B45240">
        <w:rPr>
          <w:rFonts w:ascii="Arial" w:hAnsi="Arial" w:cs="Arial"/>
          <w:sz w:val="24"/>
          <w:szCs w:val="24"/>
        </w:rPr>
        <w:t>predstečajnog</w:t>
      </w:r>
      <w:proofErr w:type="spellEnd"/>
      <w:r w:rsidR="00605DB0" w:rsidRPr="00B45240">
        <w:rPr>
          <w:rFonts w:ascii="Arial" w:hAnsi="Arial" w:cs="Arial"/>
          <w:sz w:val="24"/>
          <w:szCs w:val="24"/>
        </w:rPr>
        <w:t xml:space="preserve"> postupka </w:t>
      </w:r>
      <w:r w:rsidR="00A46BD4" w:rsidRPr="00B45240">
        <w:rPr>
          <w:rFonts w:ascii="Arial" w:hAnsi="Arial" w:cs="Arial"/>
          <w:sz w:val="24"/>
          <w:szCs w:val="24"/>
        </w:rPr>
        <w:t xml:space="preserve">sud </w:t>
      </w:r>
      <w:r w:rsidR="00F60DD8" w:rsidRPr="00B45240">
        <w:rPr>
          <w:rFonts w:ascii="Arial" w:hAnsi="Arial" w:cs="Arial"/>
          <w:sz w:val="24"/>
          <w:szCs w:val="24"/>
        </w:rPr>
        <w:t xml:space="preserve">neće </w:t>
      </w:r>
      <w:r w:rsidR="005E1F2D" w:rsidRPr="00B45240">
        <w:rPr>
          <w:rFonts w:ascii="Arial" w:hAnsi="Arial" w:cs="Arial"/>
          <w:sz w:val="24"/>
          <w:szCs w:val="24"/>
        </w:rPr>
        <w:t xml:space="preserve">utvrđivati jesu li ostvarene pretpostavke za otvaranje stečajnog postupka niti može </w:t>
      </w:r>
      <w:r w:rsidR="00F60DD8" w:rsidRPr="00B45240">
        <w:rPr>
          <w:rFonts w:ascii="Arial" w:hAnsi="Arial" w:cs="Arial"/>
          <w:sz w:val="24"/>
          <w:szCs w:val="24"/>
        </w:rPr>
        <w:t>nastaviti postupak kao da je podnesen p</w:t>
      </w:r>
      <w:r w:rsidR="008E6F33">
        <w:rPr>
          <w:rFonts w:ascii="Arial" w:hAnsi="Arial" w:cs="Arial"/>
          <w:sz w:val="24"/>
          <w:szCs w:val="24"/>
        </w:rPr>
        <w:t>rijedlog za otvaranje stečajnog</w:t>
      </w:r>
      <w:r w:rsidR="00F60DD8" w:rsidRPr="00B45240">
        <w:rPr>
          <w:rFonts w:ascii="Arial" w:hAnsi="Arial" w:cs="Arial"/>
          <w:sz w:val="24"/>
          <w:szCs w:val="24"/>
        </w:rPr>
        <w:t xml:space="preserve"> postupka</w:t>
      </w:r>
      <w:r w:rsidR="0086559D" w:rsidRPr="00B45240">
        <w:rPr>
          <w:rFonts w:ascii="Arial" w:hAnsi="Arial" w:cs="Arial"/>
          <w:sz w:val="24"/>
          <w:szCs w:val="24"/>
        </w:rPr>
        <w:t xml:space="preserve">. </w:t>
      </w:r>
      <w:r w:rsidR="006B340E" w:rsidRPr="00B45240">
        <w:rPr>
          <w:rFonts w:ascii="Arial" w:hAnsi="Arial" w:cs="Arial"/>
          <w:sz w:val="24"/>
          <w:szCs w:val="24"/>
        </w:rPr>
        <w:t>Tako s</w:t>
      </w:r>
      <w:r w:rsidR="006628CD" w:rsidRPr="00B45240">
        <w:rPr>
          <w:rFonts w:ascii="Arial" w:hAnsi="Arial" w:cs="Arial"/>
          <w:sz w:val="24"/>
          <w:szCs w:val="24"/>
        </w:rPr>
        <w:t>u</w:t>
      </w:r>
      <w:r w:rsidR="00A46BD4" w:rsidRPr="00B45240">
        <w:rPr>
          <w:rFonts w:ascii="Arial" w:hAnsi="Arial" w:cs="Arial"/>
          <w:sz w:val="24"/>
          <w:szCs w:val="24"/>
        </w:rPr>
        <w:t>d</w:t>
      </w:r>
      <w:r w:rsidR="00FD215A" w:rsidRPr="00B45240">
        <w:rPr>
          <w:rFonts w:ascii="Arial" w:hAnsi="Arial" w:cs="Arial"/>
          <w:sz w:val="40"/>
          <w:szCs w:val="40"/>
        </w:rPr>
        <w:t xml:space="preserve"> </w:t>
      </w:r>
      <w:r w:rsidR="00FD215A" w:rsidRPr="00B45240">
        <w:rPr>
          <w:rFonts w:ascii="Arial" w:hAnsi="Arial" w:cs="Arial"/>
          <w:sz w:val="24"/>
          <w:szCs w:val="24"/>
        </w:rPr>
        <w:t>neće nastaviti postupak kao da je podnesen prijedlog za otvaranje stečajnog postupka</w:t>
      </w:r>
      <w:r w:rsidR="00687BDE" w:rsidRPr="00B45240">
        <w:rPr>
          <w:rFonts w:ascii="Arial" w:hAnsi="Arial" w:cs="Arial"/>
          <w:sz w:val="24"/>
          <w:szCs w:val="24"/>
        </w:rPr>
        <w:t xml:space="preserve"> </w:t>
      </w:r>
      <w:r w:rsidR="005F637C" w:rsidRPr="00B45240">
        <w:rPr>
          <w:rFonts w:ascii="Arial" w:hAnsi="Arial" w:cs="Arial"/>
          <w:sz w:val="24"/>
          <w:szCs w:val="24"/>
        </w:rPr>
        <w:t>ako prijedlog nije podnesen od ovlaštenog podnositelja</w:t>
      </w:r>
      <w:r w:rsidR="006628CD" w:rsidRPr="00B45240">
        <w:rPr>
          <w:rFonts w:ascii="Arial" w:hAnsi="Arial" w:cs="Arial"/>
          <w:sz w:val="24"/>
          <w:szCs w:val="24"/>
        </w:rPr>
        <w:t xml:space="preserve"> i</w:t>
      </w:r>
      <w:r w:rsidR="00563715">
        <w:rPr>
          <w:rFonts w:ascii="Arial" w:hAnsi="Arial" w:cs="Arial"/>
          <w:sz w:val="24"/>
          <w:szCs w:val="24"/>
        </w:rPr>
        <w:t xml:space="preserve">li </w:t>
      </w:r>
      <w:r w:rsidR="005F637C" w:rsidRPr="00B45240">
        <w:rPr>
          <w:rFonts w:ascii="Arial" w:hAnsi="Arial" w:cs="Arial"/>
          <w:sz w:val="24"/>
          <w:szCs w:val="24"/>
        </w:rPr>
        <w:t>je prijedlog podnesen protiv osobe protiv koje se ne može podnijeti</w:t>
      </w:r>
      <w:r w:rsidR="006B340E" w:rsidRPr="00B45240">
        <w:rPr>
          <w:rFonts w:ascii="Arial" w:hAnsi="Arial" w:cs="Arial"/>
          <w:sz w:val="24"/>
          <w:szCs w:val="24"/>
        </w:rPr>
        <w:t xml:space="preserve"> ili nadležno ministarstvo nije dalo suglasnost za pokretanje postupka</w:t>
      </w:r>
      <w:r w:rsidR="006628CD" w:rsidRPr="00B45240">
        <w:rPr>
          <w:rFonts w:ascii="Arial" w:hAnsi="Arial" w:cs="Arial"/>
          <w:sz w:val="24"/>
          <w:szCs w:val="24"/>
        </w:rPr>
        <w:t xml:space="preserve">. </w:t>
      </w:r>
      <w:r w:rsidR="006B340E" w:rsidRPr="00B45240">
        <w:rPr>
          <w:rFonts w:ascii="Arial" w:hAnsi="Arial" w:cs="Arial"/>
          <w:sz w:val="24"/>
          <w:szCs w:val="24"/>
        </w:rPr>
        <w:t>U praksi može nastati problem u nekim slučajevima odbačaja prijedloga i mogućnosti nastavka postupka kao da je podnesen p</w:t>
      </w:r>
      <w:r w:rsidR="008E6F33">
        <w:rPr>
          <w:rFonts w:ascii="Arial" w:hAnsi="Arial" w:cs="Arial"/>
          <w:sz w:val="24"/>
          <w:szCs w:val="24"/>
        </w:rPr>
        <w:t>rijedlog za otvaranje stečajnog</w:t>
      </w:r>
      <w:r w:rsidR="006B340E" w:rsidRPr="00B45240">
        <w:rPr>
          <w:rFonts w:ascii="Arial" w:hAnsi="Arial" w:cs="Arial"/>
          <w:sz w:val="24"/>
          <w:szCs w:val="24"/>
        </w:rPr>
        <w:t xml:space="preserve"> postup</w:t>
      </w:r>
      <w:r w:rsidR="008E6F33">
        <w:rPr>
          <w:rFonts w:ascii="Arial" w:hAnsi="Arial" w:cs="Arial"/>
          <w:sz w:val="24"/>
          <w:szCs w:val="24"/>
        </w:rPr>
        <w:t>k</w:t>
      </w:r>
      <w:r w:rsidR="006B340E" w:rsidRPr="00B45240">
        <w:rPr>
          <w:rFonts w:ascii="Arial" w:hAnsi="Arial" w:cs="Arial"/>
          <w:sz w:val="24"/>
          <w:szCs w:val="24"/>
        </w:rPr>
        <w:t xml:space="preserve">a. Uzimajući u obzir sve okolnosti sud će odlučiti hoće li </w:t>
      </w:r>
      <w:r w:rsidR="006628CD" w:rsidRPr="00B45240">
        <w:rPr>
          <w:rFonts w:ascii="Arial" w:hAnsi="Arial" w:cs="Arial"/>
          <w:sz w:val="24"/>
          <w:szCs w:val="24"/>
        </w:rPr>
        <w:t xml:space="preserve">nastaviti postupak kao da je podnesen prijedlog za otvaranje stečajnog postupka </w:t>
      </w:r>
      <w:r w:rsidR="006B340E" w:rsidRPr="00B45240">
        <w:rPr>
          <w:rFonts w:ascii="Arial" w:hAnsi="Arial" w:cs="Arial"/>
          <w:sz w:val="24"/>
          <w:szCs w:val="24"/>
        </w:rPr>
        <w:t xml:space="preserve">pa tako i za slučaj </w:t>
      </w:r>
      <w:r w:rsidR="006628CD" w:rsidRPr="00B45240">
        <w:rPr>
          <w:rFonts w:ascii="Arial" w:hAnsi="Arial" w:cs="Arial"/>
          <w:sz w:val="24"/>
          <w:szCs w:val="24"/>
        </w:rPr>
        <w:t>odbač</w:t>
      </w:r>
      <w:r w:rsidR="006B340E" w:rsidRPr="00B45240">
        <w:rPr>
          <w:rFonts w:ascii="Arial" w:hAnsi="Arial" w:cs="Arial"/>
          <w:sz w:val="24"/>
          <w:szCs w:val="24"/>
        </w:rPr>
        <w:t xml:space="preserve">aja prijedloga nad </w:t>
      </w:r>
      <w:r w:rsidR="005F637C" w:rsidRPr="00B45240">
        <w:rPr>
          <w:rFonts w:ascii="Arial" w:hAnsi="Arial" w:cs="Arial"/>
          <w:sz w:val="24"/>
          <w:szCs w:val="24"/>
        </w:rPr>
        <w:t xml:space="preserve">dužnikom </w:t>
      </w:r>
      <w:r w:rsidR="006628CD" w:rsidRPr="00B45240">
        <w:rPr>
          <w:rFonts w:ascii="Arial" w:hAnsi="Arial" w:cs="Arial"/>
          <w:sz w:val="24"/>
          <w:szCs w:val="24"/>
        </w:rPr>
        <w:t>pravnom osobom u tijeku postupka</w:t>
      </w:r>
      <w:r w:rsidR="005F637C" w:rsidRPr="00B45240">
        <w:rPr>
          <w:rFonts w:ascii="Arial" w:hAnsi="Arial" w:cs="Arial"/>
          <w:sz w:val="24"/>
          <w:szCs w:val="24"/>
        </w:rPr>
        <w:t xml:space="preserve"> likvidacije</w:t>
      </w:r>
      <w:r w:rsidR="00300FB1">
        <w:rPr>
          <w:rFonts w:ascii="Arial" w:hAnsi="Arial" w:cs="Arial"/>
          <w:sz w:val="24"/>
          <w:szCs w:val="24"/>
        </w:rPr>
        <w:t>,</w:t>
      </w:r>
      <w:r w:rsidR="00A46BD4" w:rsidRPr="00B45240">
        <w:rPr>
          <w:rFonts w:ascii="Arial" w:hAnsi="Arial" w:cs="Arial"/>
          <w:sz w:val="24"/>
          <w:szCs w:val="24"/>
        </w:rPr>
        <w:t xml:space="preserve"> a imovina društva </w:t>
      </w:r>
      <w:r w:rsidR="00300FB1">
        <w:rPr>
          <w:rFonts w:ascii="Arial" w:hAnsi="Arial" w:cs="Arial"/>
          <w:sz w:val="24"/>
          <w:szCs w:val="24"/>
        </w:rPr>
        <w:t xml:space="preserve">još </w:t>
      </w:r>
      <w:r w:rsidR="000F20E6" w:rsidRPr="00B45240">
        <w:rPr>
          <w:rFonts w:ascii="Arial" w:hAnsi="Arial" w:cs="Arial"/>
          <w:sz w:val="24"/>
          <w:szCs w:val="24"/>
        </w:rPr>
        <w:t>ni</w:t>
      </w:r>
      <w:r w:rsidR="00A46BD4" w:rsidRPr="00B45240">
        <w:rPr>
          <w:rFonts w:ascii="Arial" w:hAnsi="Arial" w:cs="Arial"/>
          <w:sz w:val="24"/>
          <w:szCs w:val="24"/>
        </w:rPr>
        <w:t>je podijeljena</w:t>
      </w:r>
      <w:r w:rsidR="006628CD" w:rsidRPr="00B45240">
        <w:rPr>
          <w:rFonts w:ascii="Arial" w:hAnsi="Arial" w:cs="Arial"/>
          <w:sz w:val="24"/>
          <w:szCs w:val="24"/>
        </w:rPr>
        <w:t>;</w:t>
      </w:r>
      <w:r w:rsidR="005F637C" w:rsidRPr="00B45240">
        <w:rPr>
          <w:rFonts w:ascii="Arial" w:hAnsi="Arial" w:cs="Arial"/>
          <w:sz w:val="24"/>
          <w:szCs w:val="24"/>
        </w:rPr>
        <w:t xml:space="preserve"> </w:t>
      </w:r>
      <w:r w:rsidR="000F20E6" w:rsidRPr="00B45240">
        <w:rPr>
          <w:rFonts w:ascii="Arial" w:hAnsi="Arial" w:cs="Arial"/>
          <w:sz w:val="24"/>
          <w:szCs w:val="24"/>
        </w:rPr>
        <w:t>odbačaja nepotpunog p</w:t>
      </w:r>
      <w:r w:rsidR="006628CD" w:rsidRPr="00B45240">
        <w:rPr>
          <w:rFonts w:ascii="Arial" w:hAnsi="Arial" w:cs="Arial"/>
          <w:sz w:val="24"/>
          <w:szCs w:val="24"/>
        </w:rPr>
        <w:t>rijedlog</w:t>
      </w:r>
      <w:r w:rsidR="000F20E6" w:rsidRPr="00B45240">
        <w:rPr>
          <w:rFonts w:ascii="Arial" w:hAnsi="Arial" w:cs="Arial"/>
          <w:sz w:val="24"/>
          <w:szCs w:val="24"/>
        </w:rPr>
        <w:t xml:space="preserve">a </w:t>
      </w:r>
      <w:r w:rsidR="006628CD" w:rsidRPr="00B45240">
        <w:rPr>
          <w:rFonts w:ascii="Arial" w:hAnsi="Arial" w:cs="Arial"/>
          <w:sz w:val="24"/>
          <w:szCs w:val="24"/>
        </w:rPr>
        <w:t xml:space="preserve">(npr. ne sadrži </w:t>
      </w:r>
      <w:r w:rsidR="00300FB1">
        <w:rPr>
          <w:rFonts w:ascii="Arial" w:hAnsi="Arial" w:cs="Arial"/>
          <w:sz w:val="24"/>
          <w:szCs w:val="24"/>
        </w:rPr>
        <w:t xml:space="preserve">prijedlog </w:t>
      </w:r>
      <w:r w:rsidR="006628CD" w:rsidRPr="00B45240">
        <w:rPr>
          <w:rFonts w:ascii="Arial" w:hAnsi="Arial" w:cs="Arial"/>
          <w:sz w:val="24"/>
          <w:szCs w:val="24"/>
        </w:rPr>
        <w:t>plan</w:t>
      </w:r>
      <w:r w:rsidR="00300FB1">
        <w:rPr>
          <w:rFonts w:ascii="Arial" w:hAnsi="Arial" w:cs="Arial"/>
          <w:sz w:val="24"/>
          <w:szCs w:val="24"/>
        </w:rPr>
        <w:t>a</w:t>
      </w:r>
      <w:r w:rsidR="006628CD" w:rsidRPr="00B45240">
        <w:rPr>
          <w:rFonts w:ascii="Arial" w:hAnsi="Arial" w:cs="Arial"/>
          <w:sz w:val="24"/>
          <w:szCs w:val="24"/>
        </w:rPr>
        <w:t xml:space="preserve"> restrukturiranja) te ako predlagatelj nije uplatio predujam troškova postupka.</w:t>
      </w:r>
      <w:r w:rsidR="006B340E" w:rsidRPr="00B45240">
        <w:rPr>
          <w:rFonts w:ascii="Arial" w:hAnsi="Arial" w:cs="Arial"/>
          <w:sz w:val="24"/>
          <w:szCs w:val="24"/>
        </w:rPr>
        <w:t xml:space="preserve"> </w:t>
      </w:r>
    </w:p>
    <w:p w:rsidR="000F20E6" w:rsidRPr="00B45240" w:rsidRDefault="000A0954" w:rsidP="004A5FC7">
      <w:pPr>
        <w:autoSpaceDE w:val="0"/>
        <w:autoSpaceDN w:val="0"/>
        <w:adjustRightInd w:val="0"/>
        <w:spacing w:before="150" w:after="150" w:line="240" w:lineRule="auto"/>
        <w:ind w:firstLine="705"/>
        <w:jc w:val="both"/>
        <w:rPr>
          <w:rFonts w:ascii="Arial" w:hAnsi="Arial" w:cs="Arial"/>
          <w:sz w:val="24"/>
          <w:szCs w:val="24"/>
        </w:rPr>
      </w:pPr>
      <w:r w:rsidRPr="00B45240">
        <w:rPr>
          <w:rFonts w:ascii="Arial" w:hAnsi="Arial" w:cs="Arial"/>
          <w:sz w:val="24"/>
          <w:szCs w:val="24"/>
        </w:rPr>
        <w:t xml:space="preserve">Imajući u vidu </w:t>
      </w:r>
      <w:proofErr w:type="spellStart"/>
      <w:r w:rsidR="00160B91" w:rsidRPr="00B45240">
        <w:rPr>
          <w:rFonts w:ascii="Arial" w:hAnsi="Arial" w:cs="Arial"/>
          <w:sz w:val="24"/>
          <w:szCs w:val="24"/>
        </w:rPr>
        <w:t>predstečajni</w:t>
      </w:r>
      <w:proofErr w:type="spellEnd"/>
      <w:r w:rsidR="00160B91" w:rsidRPr="00B45240">
        <w:rPr>
          <w:rFonts w:ascii="Arial" w:hAnsi="Arial" w:cs="Arial"/>
          <w:sz w:val="24"/>
          <w:szCs w:val="24"/>
        </w:rPr>
        <w:t xml:space="preserve"> razlog</w:t>
      </w:r>
      <w:r w:rsidR="00160B91" w:rsidRPr="00B45240">
        <w:rPr>
          <w:rStyle w:val="Referencafusnote"/>
          <w:rFonts w:ascii="Arial" w:hAnsi="Arial" w:cs="Arial"/>
          <w:sz w:val="24"/>
          <w:szCs w:val="24"/>
        </w:rPr>
        <w:footnoteReference w:id="90"/>
      </w:r>
      <w:r w:rsidR="00160B91" w:rsidRPr="00B45240">
        <w:rPr>
          <w:rFonts w:ascii="Arial" w:hAnsi="Arial" w:cs="Arial"/>
          <w:sz w:val="24"/>
          <w:szCs w:val="24"/>
        </w:rPr>
        <w:t xml:space="preserve"> i stečajne razloge</w:t>
      </w:r>
      <w:r w:rsidR="00160B91" w:rsidRPr="00B45240">
        <w:rPr>
          <w:rStyle w:val="Referencafusnote"/>
          <w:rFonts w:ascii="Arial" w:hAnsi="Arial" w:cs="Arial"/>
          <w:sz w:val="24"/>
          <w:szCs w:val="24"/>
        </w:rPr>
        <w:footnoteReference w:id="91"/>
      </w:r>
      <w:r w:rsidR="00160B91" w:rsidRPr="00B45240">
        <w:rPr>
          <w:rFonts w:ascii="Arial" w:hAnsi="Arial" w:cs="Arial"/>
          <w:sz w:val="24"/>
          <w:szCs w:val="24"/>
        </w:rPr>
        <w:t xml:space="preserve"> dužnici </w:t>
      </w:r>
      <w:r w:rsidR="00510DF5" w:rsidRPr="00B45240">
        <w:rPr>
          <w:rFonts w:ascii="Arial" w:hAnsi="Arial" w:cs="Arial"/>
          <w:sz w:val="24"/>
          <w:szCs w:val="24"/>
        </w:rPr>
        <w:t xml:space="preserve">u pravilu </w:t>
      </w:r>
      <w:r w:rsidR="00160B91" w:rsidRPr="00B45240">
        <w:rPr>
          <w:rFonts w:ascii="Arial" w:hAnsi="Arial" w:cs="Arial"/>
          <w:sz w:val="24"/>
          <w:szCs w:val="24"/>
        </w:rPr>
        <w:t xml:space="preserve">podnose </w:t>
      </w:r>
      <w:r w:rsidR="00F46176" w:rsidRPr="00B45240">
        <w:rPr>
          <w:rFonts w:ascii="Arial" w:hAnsi="Arial" w:cs="Arial"/>
          <w:sz w:val="24"/>
          <w:szCs w:val="24"/>
        </w:rPr>
        <w:t xml:space="preserve">prijedlog za otvaranje </w:t>
      </w:r>
      <w:proofErr w:type="spellStart"/>
      <w:r w:rsidR="00F46176" w:rsidRPr="00B45240">
        <w:rPr>
          <w:rFonts w:ascii="Arial" w:hAnsi="Arial" w:cs="Arial"/>
          <w:sz w:val="24"/>
          <w:szCs w:val="24"/>
        </w:rPr>
        <w:t>predstečajnog</w:t>
      </w:r>
      <w:proofErr w:type="spellEnd"/>
      <w:r w:rsidR="00F46176" w:rsidRPr="00B45240">
        <w:rPr>
          <w:rFonts w:ascii="Arial" w:hAnsi="Arial" w:cs="Arial"/>
          <w:sz w:val="24"/>
          <w:szCs w:val="24"/>
        </w:rPr>
        <w:t xml:space="preserve"> postupka </w:t>
      </w:r>
      <w:r w:rsidR="007F0F42" w:rsidRPr="00B45240">
        <w:rPr>
          <w:rFonts w:ascii="Arial" w:hAnsi="Arial" w:cs="Arial"/>
          <w:sz w:val="24"/>
          <w:szCs w:val="24"/>
        </w:rPr>
        <w:t xml:space="preserve">nakon blokade </w:t>
      </w:r>
      <w:r w:rsidR="00510DF5" w:rsidRPr="00B45240">
        <w:rPr>
          <w:rFonts w:ascii="Arial" w:hAnsi="Arial" w:cs="Arial"/>
          <w:sz w:val="24"/>
          <w:szCs w:val="24"/>
        </w:rPr>
        <w:t xml:space="preserve">njihova </w:t>
      </w:r>
      <w:r w:rsidR="007F0F42" w:rsidRPr="00B45240">
        <w:rPr>
          <w:rFonts w:ascii="Arial" w:hAnsi="Arial" w:cs="Arial"/>
          <w:sz w:val="24"/>
          <w:szCs w:val="24"/>
        </w:rPr>
        <w:t>računa</w:t>
      </w:r>
      <w:r w:rsidR="00160B91" w:rsidRPr="00B45240">
        <w:rPr>
          <w:rFonts w:ascii="Arial" w:hAnsi="Arial" w:cs="Arial"/>
          <w:sz w:val="24"/>
          <w:szCs w:val="24"/>
        </w:rPr>
        <w:t xml:space="preserve"> ali prije proteka 60 dana od dana blokade</w:t>
      </w:r>
      <w:r w:rsidR="00510DF5" w:rsidRPr="00B45240">
        <w:rPr>
          <w:rFonts w:ascii="Arial" w:hAnsi="Arial" w:cs="Arial"/>
          <w:sz w:val="24"/>
          <w:szCs w:val="24"/>
        </w:rPr>
        <w:t xml:space="preserve"> računa</w:t>
      </w:r>
      <w:r w:rsidRPr="00B45240">
        <w:rPr>
          <w:rFonts w:ascii="Arial" w:hAnsi="Arial" w:cs="Arial"/>
          <w:sz w:val="24"/>
          <w:szCs w:val="24"/>
        </w:rPr>
        <w:t xml:space="preserve">. </w:t>
      </w:r>
      <w:r w:rsidR="00160B91" w:rsidRPr="00B45240">
        <w:rPr>
          <w:rFonts w:ascii="Arial" w:hAnsi="Arial" w:cs="Arial"/>
          <w:sz w:val="24"/>
          <w:szCs w:val="24"/>
        </w:rPr>
        <w:t xml:space="preserve">Blokada dužnikova računa koja </w:t>
      </w:r>
      <w:r w:rsidR="00F93C96" w:rsidRPr="00B45240">
        <w:rPr>
          <w:rFonts w:ascii="Arial" w:hAnsi="Arial" w:cs="Arial"/>
          <w:sz w:val="24"/>
          <w:szCs w:val="24"/>
        </w:rPr>
        <w:t>traje duže</w:t>
      </w:r>
      <w:r w:rsidR="00160B91" w:rsidRPr="00B45240">
        <w:rPr>
          <w:rFonts w:ascii="Arial" w:hAnsi="Arial" w:cs="Arial"/>
          <w:sz w:val="24"/>
          <w:szCs w:val="24"/>
        </w:rPr>
        <w:t xml:space="preserve"> od 60 dana smatra se trajnijom </w:t>
      </w:r>
      <w:r w:rsidR="00160B91" w:rsidRPr="00B45240">
        <w:rPr>
          <w:rFonts w:ascii="Arial" w:hAnsi="Arial" w:cs="Arial"/>
          <w:sz w:val="24"/>
          <w:szCs w:val="24"/>
        </w:rPr>
        <w:lastRenderedPageBreak/>
        <w:t>nesposobnošću ispunjavanja dospjelih obveza</w:t>
      </w:r>
      <w:r w:rsidR="00510DF5" w:rsidRPr="00B45240">
        <w:rPr>
          <w:rFonts w:ascii="Arial" w:hAnsi="Arial" w:cs="Arial"/>
          <w:sz w:val="24"/>
          <w:szCs w:val="24"/>
        </w:rPr>
        <w:t>,</w:t>
      </w:r>
      <w:r w:rsidR="00160B91" w:rsidRPr="00B45240">
        <w:rPr>
          <w:rFonts w:ascii="Arial" w:hAnsi="Arial" w:cs="Arial"/>
          <w:sz w:val="24"/>
          <w:szCs w:val="24"/>
        </w:rPr>
        <w:t xml:space="preserve"> a to je stečajni razlog. </w:t>
      </w:r>
      <w:r w:rsidR="00FD215A" w:rsidRPr="00B45240">
        <w:rPr>
          <w:rFonts w:ascii="Arial" w:hAnsi="Arial" w:cs="Arial"/>
          <w:sz w:val="24"/>
          <w:szCs w:val="24"/>
        </w:rPr>
        <w:t>Prij</w:t>
      </w:r>
      <w:r w:rsidR="00F46176" w:rsidRPr="00B45240">
        <w:rPr>
          <w:rFonts w:ascii="Arial" w:hAnsi="Arial" w:cs="Arial"/>
          <w:sz w:val="24"/>
          <w:szCs w:val="24"/>
        </w:rPr>
        <w:t xml:space="preserve">edlog </w:t>
      </w:r>
      <w:r w:rsidR="00510DF5" w:rsidRPr="00B45240">
        <w:rPr>
          <w:rFonts w:ascii="Arial" w:hAnsi="Arial" w:cs="Arial"/>
          <w:sz w:val="24"/>
          <w:szCs w:val="24"/>
        </w:rPr>
        <w:t xml:space="preserve">za otvaranje </w:t>
      </w:r>
      <w:proofErr w:type="spellStart"/>
      <w:r w:rsidR="00510DF5" w:rsidRPr="00B45240">
        <w:rPr>
          <w:rFonts w:ascii="Arial" w:hAnsi="Arial" w:cs="Arial"/>
          <w:sz w:val="24"/>
          <w:szCs w:val="24"/>
        </w:rPr>
        <w:t>predstečajnog</w:t>
      </w:r>
      <w:proofErr w:type="spellEnd"/>
      <w:r w:rsidR="00510DF5" w:rsidRPr="00B45240">
        <w:rPr>
          <w:rFonts w:ascii="Arial" w:hAnsi="Arial" w:cs="Arial"/>
          <w:sz w:val="24"/>
          <w:szCs w:val="24"/>
        </w:rPr>
        <w:t xml:space="preserve"> postupka </w:t>
      </w:r>
      <w:r w:rsidR="00FD215A" w:rsidRPr="00B45240">
        <w:rPr>
          <w:rFonts w:ascii="Arial" w:hAnsi="Arial" w:cs="Arial"/>
          <w:sz w:val="24"/>
          <w:szCs w:val="24"/>
        </w:rPr>
        <w:t xml:space="preserve">moguće je </w:t>
      </w:r>
      <w:r w:rsidR="00F46176" w:rsidRPr="00B45240">
        <w:rPr>
          <w:rFonts w:ascii="Arial" w:hAnsi="Arial" w:cs="Arial"/>
          <w:sz w:val="24"/>
          <w:szCs w:val="24"/>
        </w:rPr>
        <w:t>podn</w:t>
      </w:r>
      <w:r w:rsidR="00FD215A" w:rsidRPr="00B45240">
        <w:rPr>
          <w:rFonts w:ascii="Arial" w:hAnsi="Arial" w:cs="Arial"/>
          <w:sz w:val="24"/>
          <w:szCs w:val="24"/>
        </w:rPr>
        <w:t xml:space="preserve">ijeti i </w:t>
      </w:r>
      <w:r w:rsidR="00CE6547" w:rsidRPr="00B45240">
        <w:rPr>
          <w:rFonts w:ascii="Arial" w:hAnsi="Arial" w:cs="Arial"/>
          <w:sz w:val="24"/>
          <w:szCs w:val="24"/>
        </w:rPr>
        <w:t>60</w:t>
      </w:r>
      <w:r w:rsidR="00E93E09" w:rsidRPr="00B45240">
        <w:rPr>
          <w:rFonts w:ascii="Arial" w:hAnsi="Arial" w:cs="Arial"/>
          <w:sz w:val="24"/>
          <w:szCs w:val="24"/>
        </w:rPr>
        <w:t>-ti</w:t>
      </w:r>
      <w:r w:rsidRPr="00B45240">
        <w:rPr>
          <w:rFonts w:ascii="Arial" w:hAnsi="Arial" w:cs="Arial"/>
          <w:sz w:val="24"/>
          <w:szCs w:val="24"/>
        </w:rPr>
        <w:t xml:space="preserve"> dan </w:t>
      </w:r>
      <w:r w:rsidR="00EA0930" w:rsidRPr="00B45240">
        <w:rPr>
          <w:rFonts w:ascii="Arial" w:hAnsi="Arial" w:cs="Arial"/>
          <w:sz w:val="24"/>
          <w:szCs w:val="24"/>
        </w:rPr>
        <w:t xml:space="preserve">od dana </w:t>
      </w:r>
      <w:r w:rsidRPr="00B45240">
        <w:rPr>
          <w:rFonts w:ascii="Arial" w:hAnsi="Arial" w:cs="Arial"/>
          <w:sz w:val="24"/>
          <w:szCs w:val="24"/>
        </w:rPr>
        <w:t xml:space="preserve">blokade </w:t>
      </w:r>
      <w:r w:rsidR="00510DF5" w:rsidRPr="00B45240">
        <w:rPr>
          <w:rFonts w:ascii="Arial" w:hAnsi="Arial" w:cs="Arial"/>
          <w:sz w:val="24"/>
          <w:szCs w:val="24"/>
        </w:rPr>
        <w:t xml:space="preserve">dužnikova </w:t>
      </w:r>
      <w:r w:rsidRPr="00B45240">
        <w:rPr>
          <w:rFonts w:ascii="Arial" w:hAnsi="Arial" w:cs="Arial"/>
          <w:sz w:val="24"/>
          <w:szCs w:val="24"/>
        </w:rPr>
        <w:t>računa</w:t>
      </w:r>
      <w:r w:rsidR="00FD215A" w:rsidRPr="00B45240">
        <w:rPr>
          <w:rFonts w:ascii="Arial" w:hAnsi="Arial" w:cs="Arial"/>
          <w:sz w:val="24"/>
          <w:szCs w:val="24"/>
        </w:rPr>
        <w:t xml:space="preserve"> pa se o</w:t>
      </w:r>
      <w:r w:rsidRPr="00B45240">
        <w:rPr>
          <w:rFonts w:ascii="Arial" w:hAnsi="Arial" w:cs="Arial"/>
          <w:sz w:val="24"/>
          <w:szCs w:val="24"/>
        </w:rPr>
        <w:t>pravdano postav</w:t>
      </w:r>
      <w:r w:rsidR="00EA0930" w:rsidRPr="00B45240">
        <w:rPr>
          <w:rFonts w:ascii="Arial" w:hAnsi="Arial" w:cs="Arial"/>
          <w:sz w:val="24"/>
          <w:szCs w:val="24"/>
        </w:rPr>
        <w:t>lja</w:t>
      </w:r>
      <w:r w:rsidRPr="00B45240">
        <w:rPr>
          <w:rFonts w:ascii="Arial" w:hAnsi="Arial" w:cs="Arial"/>
          <w:sz w:val="24"/>
          <w:szCs w:val="24"/>
        </w:rPr>
        <w:t xml:space="preserve"> pitanje koji </w:t>
      </w:r>
      <w:r w:rsidR="00E93E09" w:rsidRPr="00B45240">
        <w:rPr>
          <w:rFonts w:ascii="Arial" w:hAnsi="Arial" w:cs="Arial"/>
          <w:sz w:val="24"/>
          <w:szCs w:val="24"/>
        </w:rPr>
        <w:t xml:space="preserve">je </w:t>
      </w:r>
      <w:r w:rsidRPr="00B45240">
        <w:rPr>
          <w:rFonts w:ascii="Arial" w:hAnsi="Arial" w:cs="Arial"/>
          <w:sz w:val="24"/>
          <w:szCs w:val="24"/>
        </w:rPr>
        <w:t xml:space="preserve">trenutak odlučan za utvrđivanje </w:t>
      </w:r>
      <w:proofErr w:type="spellStart"/>
      <w:r w:rsidR="00EA0930" w:rsidRPr="00B45240">
        <w:rPr>
          <w:rFonts w:ascii="Arial" w:hAnsi="Arial" w:cs="Arial"/>
          <w:sz w:val="24"/>
          <w:szCs w:val="24"/>
        </w:rPr>
        <w:t>predstečajnog</w:t>
      </w:r>
      <w:proofErr w:type="spellEnd"/>
      <w:r w:rsidR="00EA0930" w:rsidRPr="00B45240">
        <w:rPr>
          <w:rFonts w:ascii="Arial" w:hAnsi="Arial" w:cs="Arial"/>
          <w:sz w:val="24"/>
          <w:szCs w:val="24"/>
        </w:rPr>
        <w:t xml:space="preserve"> razloga odnosno postojanje </w:t>
      </w:r>
      <w:r w:rsidRPr="00B45240">
        <w:rPr>
          <w:rFonts w:ascii="Arial" w:hAnsi="Arial" w:cs="Arial"/>
          <w:sz w:val="24"/>
          <w:szCs w:val="24"/>
        </w:rPr>
        <w:t>pretpostavki za otvaranje stečajnog postupka</w:t>
      </w:r>
      <w:r w:rsidR="00EA0930" w:rsidRPr="00B45240">
        <w:rPr>
          <w:rFonts w:ascii="Arial" w:hAnsi="Arial" w:cs="Arial"/>
          <w:sz w:val="24"/>
          <w:szCs w:val="24"/>
        </w:rPr>
        <w:t xml:space="preserve">. </w:t>
      </w:r>
      <w:r w:rsidR="000C3542" w:rsidRPr="00B45240">
        <w:rPr>
          <w:rFonts w:ascii="Arial" w:hAnsi="Arial" w:cs="Arial"/>
          <w:sz w:val="24"/>
          <w:szCs w:val="24"/>
        </w:rPr>
        <w:t xml:space="preserve">Postoje dva pravna shvaćanja. </w:t>
      </w:r>
      <w:r w:rsidR="00687BDE" w:rsidRPr="00B45240">
        <w:rPr>
          <w:rFonts w:ascii="Arial" w:hAnsi="Arial" w:cs="Arial"/>
          <w:sz w:val="24"/>
          <w:szCs w:val="24"/>
        </w:rPr>
        <w:t>Prema prvom</w:t>
      </w:r>
      <w:r w:rsidR="00F93C96" w:rsidRPr="00B45240">
        <w:rPr>
          <w:rFonts w:ascii="Arial" w:hAnsi="Arial" w:cs="Arial"/>
          <w:sz w:val="24"/>
          <w:szCs w:val="24"/>
        </w:rPr>
        <w:t xml:space="preserve"> shvaćanju</w:t>
      </w:r>
      <w:r w:rsidR="00CC0F1E" w:rsidRPr="00B45240">
        <w:rPr>
          <w:rFonts w:ascii="Arial" w:hAnsi="Arial" w:cs="Arial"/>
          <w:sz w:val="24"/>
          <w:szCs w:val="24"/>
        </w:rPr>
        <w:t>, a</w:t>
      </w:r>
      <w:r w:rsidR="00EA0930" w:rsidRPr="00B45240">
        <w:rPr>
          <w:rFonts w:ascii="Arial" w:hAnsi="Arial" w:cs="Arial"/>
          <w:sz w:val="24"/>
          <w:szCs w:val="24"/>
        </w:rPr>
        <w:t xml:space="preserve">ko u vrijeme podnošenja prijedloga nisu postojale pretpostavke za otvaranje stečajnog postupka njihovo ostvarenje u tijeku </w:t>
      </w:r>
      <w:proofErr w:type="spellStart"/>
      <w:r w:rsidR="00EA0930" w:rsidRPr="00B45240">
        <w:rPr>
          <w:rFonts w:ascii="Arial" w:hAnsi="Arial" w:cs="Arial"/>
          <w:sz w:val="24"/>
          <w:szCs w:val="24"/>
        </w:rPr>
        <w:t>predstečajnog</w:t>
      </w:r>
      <w:proofErr w:type="spellEnd"/>
      <w:r w:rsidR="00EA0930" w:rsidRPr="00B45240">
        <w:rPr>
          <w:rFonts w:ascii="Arial" w:hAnsi="Arial" w:cs="Arial"/>
          <w:sz w:val="24"/>
          <w:szCs w:val="24"/>
        </w:rPr>
        <w:t xml:space="preserve"> postupka nije odlučno</w:t>
      </w:r>
      <w:r w:rsidR="00CE6547" w:rsidRPr="00B45240">
        <w:rPr>
          <w:rFonts w:ascii="Arial" w:hAnsi="Arial" w:cs="Arial"/>
          <w:sz w:val="24"/>
          <w:szCs w:val="24"/>
        </w:rPr>
        <w:t>, osim ako prijedlog ne bude odbačen ili postupak obustavljen</w:t>
      </w:r>
      <w:r w:rsidR="00EA0930" w:rsidRPr="00B45240">
        <w:rPr>
          <w:rFonts w:ascii="Arial" w:hAnsi="Arial" w:cs="Arial"/>
          <w:sz w:val="24"/>
          <w:szCs w:val="24"/>
        </w:rPr>
        <w:t xml:space="preserve">. </w:t>
      </w:r>
    </w:p>
    <w:p w:rsidR="000C3542" w:rsidRPr="00B45240" w:rsidRDefault="000C3542" w:rsidP="004A5FC7">
      <w:pPr>
        <w:autoSpaceDE w:val="0"/>
        <w:autoSpaceDN w:val="0"/>
        <w:adjustRightInd w:val="0"/>
        <w:spacing w:before="150" w:after="150" w:line="240" w:lineRule="auto"/>
        <w:ind w:firstLine="705"/>
        <w:jc w:val="both"/>
        <w:rPr>
          <w:rFonts w:ascii="Arial" w:hAnsi="Arial" w:cs="Arial"/>
          <w:sz w:val="24"/>
          <w:szCs w:val="24"/>
        </w:rPr>
      </w:pPr>
      <w:r w:rsidRPr="00B45240">
        <w:rPr>
          <w:rFonts w:ascii="Arial" w:hAnsi="Arial" w:cs="Arial"/>
          <w:sz w:val="24"/>
          <w:szCs w:val="24"/>
        </w:rPr>
        <w:t>P</w:t>
      </w:r>
      <w:r w:rsidR="00FD215A" w:rsidRPr="00B45240">
        <w:rPr>
          <w:rFonts w:ascii="Arial" w:hAnsi="Arial" w:cs="Arial"/>
          <w:sz w:val="24"/>
          <w:szCs w:val="24"/>
        </w:rPr>
        <w:t>rema</w:t>
      </w:r>
      <w:r w:rsidRPr="00B45240">
        <w:rPr>
          <w:rFonts w:ascii="Arial" w:hAnsi="Arial" w:cs="Arial"/>
          <w:sz w:val="24"/>
          <w:szCs w:val="24"/>
        </w:rPr>
        <w:t xml:space="preserve"> drugom shvaćanju, ako se u tijeku </w:t>
      </w:r>
      <w:proofErr w:type="spellStart"/>
      <w:r w:rsidRPr="00B45240">
        <w:rPr>
          <w:rFonts w:ascii="Arial" w:hAnsi="Arial" w:cs="Arial"/>
          <w:sz w:val="24"/>
          <w:szCs w:val="24"/>
        </w:rPr>
        <w:t>predstečajnog</w:t>
      </w:r>
      <w:proofErr w:type="spellEnd"/>
      <w:r w:rsidRPr="00B45240">
        <w:rPr>
          <w:rFonts w:ascii="Arial" w:hAnsi="Arial" w:cs="Arial"/>
          <w:sz w:val="24"/>
          <w:szCs w:val="24"/>
        </w:rPr>
        <w:t xml:space="preserve"> postupka ostvare pretpostavke za otvaranje stečajnog postupka </w:t>
      </w:r>
      <w:r w:rsidR="00B47372" w:rsidRPr="00B45240">
        <w:rPr>
          <w:rFonts w:ascii="Arial" w:hAnsi="Arial" w:cs="Arial"/>
          <w:sz w:val="24"/>
          <w:szCs w:val="24"/>
        </w:rPr>
        <w:t>sud će nastaviti postupak kao da je podnesen prijedlog z</w:t>
      </w:r>
      <w:r w:rsidR="00CE6547" w:rsidRPr="00B45240">
        <w:rPr>
          <w:rFonts w:ascii="Arial" w:hAnsi="Arial" w:cs="Arial"/>
          <w:sz w:val="24"/>
          <w:szCs w:val="24"/>
        </w:rPr>
        <w:t xml:space="preserve">a otvaranje stečajnog postupka </w:t>
      </w:r>
      <w:r w:rsidR="000F20E6" w:rsidRPr="00B45240">
        <w:rPr>
          <w:rFonts w:ascii="Arial" w:hAnsi="Arial" w:cs="Arial"/>
          <w:sz w:val="24"/>
          <w:szCs w:val="24"/>
        </w:rPr>
        <w:t xml:space="preserve">iako nisu </w:t>
      </w:r>
      <w:r w:rsidR="006628CD" w:rsidRPr="00B45240">
        <w:rPr>
          <w:rFonts w:ascii="Arial" w:hAnsi="Arial" w:cs="Arial"/>
          <w:sz w:val="24"/>
          <w:szCs w:val="24"/>
        </w:rPr>
        <w:t>ostvare</w:t>
      </w:r>
      <w:r w:rsidR="000F20E6" w:rsidRPr="00B45240">
        <w:rPr>
          <w:rFonts w:ascii="Arial" w:hAnsi="Arial" w:cs="Arial"/>
          <w:sz w:val="24"/>
          <w:szCs w:val="24"/>
        </w:rPr>
        <w:t>ne</w:t>
      </w:r>
      <w:r w:rsidR="006628CD" w:rsidRPr="00B45240">
        <w:rPr>
          <w:rFonts w:ascii="Arial" w:hAnsi="Arial" w:cs="Arial"/>
          <w:sz w:val="24"/>
          <w:szCs w:val="24"/>
        </w:rPr>
        <w:t xml:space="preserve"> pretpostavk</w:t>
      </w:r>
      <w:r w:rsidR="000F20E6" w:rsidRPr="00B45240">
        <w:rPr>
          <w:rFonts w:ascii="Arial" w:hAnsi="Arial" w:cs="Arial"/>
          <w:sz w:val="24"/>
          <w:szCs w:val="24"/>
        </w:rPr>
        <w:t>e</w:t>
      </w:r>
      <w:r w:rsidR="00CE6547" w:rsidRPr="00B45240">
        <w:rPr>
          <w:rFonts w:ascii="Arial" w:hAnsi="Arial" w:cs="Arial"/>
          <w:sz w:val="24"/>
          <w:szCs w:val="24"/>
        </w:rPr>
        <w:t xml:space="preserve"> za odbačaj prijedloga</w:t>
      </w:r>
      <w:r w:rsidR="001B1F13" w:rsidRPr="00B45240">
        <w:rPr>
          <w:rFonts w:ascii="Arial" w:hAnsi="Arial" w:cs="Arial"/>
          <w:sz w:val="24"/>
          <w:szCs w:val="24"/>
        </w:rPr>
        <w:t>.</w:t>
      </w:r>
    </w:p>
    <w:p w:rsidR="00CC0F1E" w:rsidRPr="000028DD" w:rsidRDefault="00F93C96" w:rsidP="000028DD">
      <w:pPr>
        <w:autoSpaceDE w:val="0"/>
        <w:autoSpaceDN w:val="0"/>
        <w:adjustRightInd w:val="0"/>
        <w:spacing w:before="150" w:after="150" w:line="240" w:lineRule="auto"/>
        <w:ind w:firstLine="705"/>
        <w:jc w:val="both"/>
        <w:rPr>
          <w:rFonts w:ascii="Arial" w:hAnsi="Arial" w:cs="Arial"/>
          <w:sz w:val="24"/>
          <w:szCs w:val="24"/>
        </w:rPr>
      </w:pPr>
      <w:r w:rsidRPr="00B45240">
        <w:rPr>
          <w:rFonts w:ascii="Arial" w:hAnsi="Arial" w:cs="Arial"/>
          <w:sz w:val="24"/>
          <w:szCs w:val="24"/>
        </w:rPr>
        <w:t xml:space="preserve">U sudskoj praksi ima </w:t>
      </w:r>
      <w:r w:rsidR="000C3542" w:rsidRPr="00B45240">
        <w:rPr>
          <w:rFonts w:ascii="Arial" w:hAnsi="Arial" w:cs="Arial"/>
          <w:sz w:val="24"/>
          <w:szCs w:val="24"/>
        </w:rPr>
        <w:t>odluk</w:t>
      </w:r>
      <w:r w:rsidRPr="00B45240">
        <w:rPr>
          <w:rFonts w:ascii="Arial" w:hAnsi="Arial" w:cs="Arial"/>
          <w:sz w:val="24"/>
          <w:szCs w:val="24"/>
        </w:rPr>
        <w:t>a</w:t>
      </w:r>
      <w:r w:rsidR="00B47372" w:rsidRPr="00B45240">
        <w:rPr>
          <w:rFonts w:ascii="Arial" w:hAnsi="Arial" w:cs="Arial"/>
          <w:sz w:val="24"/>
          <w:szCs w:val="24"/>
        </w:rPr>
        <w:t xml:space="preserve"> koje su prihvatile i jedno i drugo pravno shvaćanje</w:t>
      </w:r>
      <w:r w:rsidR="000C3542" w:rsidRPr="00B45240">
        <w:rPr>
          <w:rStyle w:val="Referencafusnote"/>
          <w:rFonts w:ascii="Arial" w:hAnsi="Arial" w:cs="Arial"/>
          <w:sz w:val="24"/>
          <w:szCs w:val="24"/>
        </w:rPr>
        <w:footnoteReference w:id="92"/>
      </w:r>
      <w:r w:rsidR="000C3542" w:rsidRPr="00B45240">
        <w:rPr>
          <w:rFonts w:ascii="Arial" w:hAnsi="Arial" w:cs="Arial"/>
          <w:sz w:val="24"/>
          <w:szCs w:val="24"/>
        </w:rPr>
        <w:t xml:space="preserve">. </w:t>
      </w:r>
      <w:r w:rsidR="00CC0F1E" w:rsidRPr="00B45240">
        <w:rPr>
          <w:rFonts w:ascii="Arial" w:hAnsi="Arial" w:cs="Arial"/>
          <w:sz w:val="24"/>
          <w:szCs w:val="24"/>
        </w:rPr>
        <w:t xml:space="preserve">Vladajuće je </w:t>
      </w:r>
      <w:r w:rsidR="00E93E09" w:rsidRPr="00B45240">
        <w:rPr>
          <w:rFonts w:ascii="Arial" w:hAnsi="Arial" w:cs="Arial"/>
          <w:sz w:val="24"/>
          <w:szCs w:val="24"/>
        </w:rPr>
        <w:t xml:space="preserve">pravno </w:t>
      </w:r>
      <w:r w:rsidR="00CC0F1E" w:rsidRPr="00B45240">
        <w:rPr>
          <w:rFonts w:ascii="Arial" w:hAnsi="Arial" w:cs="Arial"/>
          <w:sz w:val="24"/>
          <w:szCs w:val="24"/>
        </w:rPr>
        <w:t xml:space="preserve">shvaćanje </w:t>
      </w:r>
      <w:r w:rsidR="00E93E09" w:rsidRPr="00B45240">
        <w:rPr>
          <w:rFonts w:ascii="Arial" w:hAnsi="Arial" w:cs="Arial"/>
          <w:sz w:val="24"/>
          <w:szCs w:val="24"/>
        </w:rPr>
        <w:t xml:space="preserve">koje smatra </w:t>
      </w:r>
      <w:r w:rsidR="00CC0F1E" w:rsidRPr="00B45240">
        <w:rPr>
          <w:rFonts w:ascii="Arial" w:hAnsi="Arial" w:cs="Arial"/>
          <w:sz w:val="24"/>
          <w:szCs w:val="24"/>
        </w:rPr>
        <w:t xml:space="preserve">da je </w:t>
      </w:r>
      <w:r w:rsidR="00FD215A" w:rsidRPr="00B45240">
        <w:rPr>
          <w:rFonts w:ascii="Arial" w:hAnsi="Arial" w:cs="Arial"/>
          <w:sz w:val="24"/>
          <w:szCs w:val="24"/>
        </w:rPr>
        <w:t xml:space="preserve">za utvrđivanje </w:t>
      </w:r>
      <w:proofErr w:type="spellStart"/>
      <w:r w:rsidR="00FD215A" w:rsidRPr="00B45240">
        <w:rPr>
          <w:rFonts w:ascii="Arial" w:hAnsi="Arial" w:cs="Arial"/>
          <w:sz w:val="24"/>
          <w:szCs w:val="24"/>
        </w:rPr>
        <w:t>predstečajnih</w:t>
      </w:r>
      <w:proofErr w:type="spellEnd"/>
      <w:r w:rsidR="00FD215A" w:rsidRPr="00B45240">
        <w:rPr>
          <w:rFonts w:ascii="Arial" w:hAnsi="Arial" w:cs="Arial"/>
          <w:sz w:val="24"/>
          <w:szCs w:val="24"/>
        </w:rPr>
        <w:t xml:space="preserve"> razloga </w:t>
      </w:r>
      <w:r w:rsidR="00CC0F1E" w:rsidRPr="00B45240">
        <w:rPr>
          <w:rFonts w:ascii="Arial" w:hAnsi="Arial" w:cs="Arial"/>
          <w:sz w:val="24"/>
          <w:szCs w:val="24"/>
        </w:rPr>
        <w:t>odlučan trenutak podnošenj</w:t>
      </w:r>
      <w:r w:rsidR="00605DB0" w:rsidRPr="00B45240">
        <w:rPr>
          <w:rFonts w:ascii="Arial" w:hAnsi="Arial" w:cs="Arial"/>
          <w:sz w:val="24"/>
          <w:szCs w:val="24"/>
        </w:rPr>
        <w:t>a</w:t>
      </w:r>
      <w:r w:rsidR="00CC0F1E" w:rsidRPr="00B45240">
        <w:rPr>
          <w:rFonts w:ascii="Arial" w:hAnsi="Arial" w:cs="Arial"/>
          <w:sz w:val="24"/>
          <w:szCs w:val="24"/>
        </w:rPr>
        <w:t xml:space="preserve"> prijedloga za otvaranje </w:t>
      </w:r>
      <w:proofErr w:type="spellStart"/>
      <w:r w:rsidR="00CC0F1E" w:rsidRPr="00B45240">
        <w:rPr>
          <w:rFonts w:ascii="Arial" w:hAnsi="Arial" w:cs="Arial"/>
          <w:sz w:val="24"/>
          <w:szCs w:val="24"/>
        </w:rPr>
        <w:t>predstečajnog</w:t>
      </w:r>
      <w:proofErr w:type="spellEnd"/>
      <w:r w:rsidR="00CC0F1E" w:rsidRPr="00B45240">
        <w:rPr>
          <w:rFonts w:ascii="Arial" w:hAnsi="Arial" w:cs="Arial"/>
          <w:sz w:val="24"/>
          <w:szCs w:val="24"/>
        </w:rPr>
        <w:t xml:space="preserve"> postupka. </w:t>
      </w:r>
      <w:r w:rsidR="00605DB0" w:rsidRPr="00B45240">
        <w:rPr>
          <w:rFonts w:ascii="Arial" w:hAnsi="Arial" w:cs="Arial"/>
          <w:sz w:val="24"/>
          <w:szCs w:val="24"/>
        </w:rPr>
        <w:t xml:space="preserve">Ako u vrijeme podnošenja prijedloga za otvaranje </w:t>
      </w:r>
      <w:proofErr w:type="spellStart"/>
      <w:r w:rsidR="00FD215A" w:rsidRPr="00B45240">
        <w:rPr>
          <w:rFonts w:ascii="Arial" w:hAnsi="Arial" w:cs="Arial"/>
          <w:sz w:val="24"/>
          <w:szCs w:val="24"/>
        </w:rPr>
        <w:t>predstečajnog</w:t>
      </w:r>
      <w:proofErr w:type="spellEnd"/>
      <w:r w:rsidR="00FD215A" w:rsidRPr="00B45240">
        <w:rPr>
          <w:rFonts w:ascii="Arial" w:hAnsi="Arial" w:cs="Arial"/>
          <w:sz w:val="24"/>
          <w:szCs w:val="24"/>
        </w:rPr>
        <w:t xml:space="preserve"> postupka nisu bile</w:t>
      </w:r>
      <w:r w:rsidR="00605DB0" w:rsidRPr="00B45240">
        <w:rPr>
          <w:rFonts w:ascii="Arial" w:hAnsi="Arial" w:cs="Arial"/>
          <w:sz w:val="24"/>
          <w:szCs w:val="24"/>
        </w:rPr>
        <w:t xml:space="preserve"> ostvarene pretpostavke za otvaranje stečajnog postupka sud će nastaviti </w:t>
      </w:r>
      <w:proofErr w:type="spellStart"/>
      <w:r w:rsidR="00605DB0" w:rsidRPr="00B45240">
        <w:rPr>
          <w:rFonts w:ascii="Arial" w:hAnsi="Arial" w:cs="Arial"/>
          <w:sz w:val="24"/>
          <w:szCs w:val="24"/>
        </w:rPr>
        <w:t>predstečajni</w:t>
      </w:r>
      <w:proofErr w:type="spellEnd"/>
      <w:r w:rsidR="00605DB0" w:rsidRPr="00B45240">
        <w:rPr>
          <w:rFonts w:ascii="Arial" w:hAnsi="Arial" w:cs="Arial"/>
          <w:sz w:val="24"/>
          <w:szCs w:val="24"/>
        </w:rPr>
        <w:t xml:space="preserve"> postupak i donijeti odgovarajuće odluke. </w:t>
      </w:r>
      <w:r w:rsidR="00300FB1">
        <w:rPr>
          <w:rFonts w:ascii="Arial" w:hAnsi="Arial" w:cs="Arial"/>
          <w:sz w:val="24"/>
          <w:szCs w:val="24"/>
        </w:rPr>
        <w:t xml:space="preserve">Pravilnost navedenog shvaćanja potvrdio je i ZIDSZ tako što je člankom 1. stavak 2. izmijenio odredbu članka 4. stavak 2. SZ-a tako da ista sada glasi: </w:t>
      </w:r>
      <w:r w:rsidR="00B96F1C">
        <w:rPr>
          <w:rFonts w:ascii="Arial" w:hAnsi="Arial" w:cs="Arial"/>
          <w:sz w:val="24"/>
          <w:szCs w:val="24"/>
        </w:rPr>
        <w:t>„</w:t>
      </w:r>
      <w:r w:rsidR="00B96F1C" w:rsidRPr="00B96F1C">
        <w:rPr>
          <w:rFonts w:ascii="Arial" w:hAnsi="Arial" w:cs="Arial"/>
          <w:i/>
          <w:sz w:val="24"/>
          <w:szCs w:val="24"/>
        </w:rPr>
        <w:t>Smatrat će se da prijeteća nesposobnost za plaćanje postoji ako u trenutku podnošenja prijedloga nisu nastale okolnosti zbog kojih se smatra da je dužnik trajnije nesposoban za plaćanje</w:t>
      </w:r>
      <w:r w:rsidR="00B96F1C">
        <w:rPr>
          <w:rFonts w:ascii="Arial" w:hAnsi="Arial" w:cs="Arial"/>
          <w:i/>
          <w:sz w:val="24"/>
          <w:szCs w:val="24"/>
        </w:rPr>
        <w:t>….“.</w:t>
      </w:r>
    </w:p>
    <w:p w:rsidR="00862F69" w:rsidRPr="00B45240" w:rsidRDefault="00B47372" w:rsidP="000A6239">
      <w:pPr>
        <w:autoSpaceDE w:val="0"/>
        <w:autoSpaceDN w:val="0"/>
        <w:adjustRightInd w:val="0"/>
        <w:spacing w:before="120" w:after="120" w:line="240" w:lineRule="auto"/>
        <w:ind w:firstLine="705"/>
        <w:jc w:val="both"/>
        <w:rPr>
          <w:rFonts w:ascii="Arial" w:hAnsi="Arial" w:cs="Arial"/>
          <w:sz w:val="24"/>
          <w:szCs w:val="24"/>
        </w:rPr>
      </w:pPr>
      <w:r w:rsidRPr="00B45240">
        <w:rPr>
          <w:rFonts w:ascii="Arial" w:hAnsi="Arial" w:cs="Arial"/>
          <w:sz w:val="24"/>
          <w:szCs w:val="24"/>
        </w:rPr>
        <w:t xml:space="preserve">U vezi s izloženim postavlja se još jedno pitanje </w:t>
      </w:r>
      <w:r w:rsidR="00CE6547" w:rsidRPr="00B45240">
        <w:rPr>
          <w:rFonts w:ascii="Arial" w:hAnsi="Arial" w:cs="Arial"/>
          <w:sz w:val="24"/>
          <w:szCs w:val="24"/>
        </w:rPr>
        <w:t>–</w:t>
      </w:r>
      <w:r w:rsidRPr="00B45240">
        <w:rPr>
          <w:rFonts w:ascii="Arial" w:hAnsi="Arial" w:cs="Arial"/>
          <w:sz w:val="24"/>
          <w:szCs w:val="24"/>
        </w:rPr>
        <w:t xml:space="preserve"> </w:t>
      </w:r>
      <w:r w:rsidR="00CE6547" w:rsidRPr="00B45240">
        <w:rPr>
          <w:rFonts w:ascii="Arial" w:hAnsi="Arial" w:cs="Arial"/>
          <w:sz w:val="24"/>
          <w:szCs w:val="24"/>
        </w:rPr>
        <w:t xml:space="preserve">na koji način sud </w:t>
      </w:r>
      <w:r w:rsidR="000F20E6" w:rsidRPr="00B45240">
        <w:rPr>
          <w:rFonts w:ascii="Arial" w:hAnsi="Arial" w:cs="Arial"/>
          <w:sz w:val="24"/>
          <w:szCs w:val="24"/>
        </w:rPr>
        <w:t xml:space="preserve">okončava </w:t>
      </w:r>
      <w:proofErr w:type="spellStart"/>
      <w:r w:rsidR="000F20E6" w:rsidRPr="00B45240">
        <w:rPr>
          <w:rFonts w:ascii="Arial" w:hAnsi="Arial" w:cs="Arial"/>
          <w:sz w:val="24"/>
          <w:szCs w:val="24"/>
        </w:rPr>
        <w:t>predstečajni</w:t>
      </w:r>
      <w:proofErr w:type="spellEnd"/>
      <w:r w:rsidR="000F20E6" w:rsidRPr="00B45240">
        <w:rPr>
          <w:rFonts w:ascii="Arial" w:hAnsi="Arial" w:cs="Arial"/>
          <w:sz w:val="24"/>
          <w:szCs w:val="24"/>
        </w:rPr>
        <w:t xml:space="preserve"> postupak i </w:t>
      </w:r>
      <w:r w:rsidR="00CE6547" w:rsidRPr="00B45240">
        <w:rPr>
          <w:rFonts w:ascii="Arial" w:hAnsi="Arial" w:cs="Arial"/>
          <w:sz w:val="24"/>
          <w:szCs w:val="24"/>
        </w:rPr>
        <w:t>nastavlja postupak kao da je podnesen prijedlog za otvaranje stečajnog postupka, odnosno</w:t>
      </w:r>
      <w:r w:rsidR="000F20E6" w:rsidRPr="00B45240">
        <w:rPr>
          <w:rFonts w:ascii="Arial" w:hAnsi="Arial" w:cs="Arial"/>
          <w:sz w:val="24"/>
          <w:szCs w:val="24"/>
        </w:rPr>
        <w:t>:</w:t>
      </w:r>
      <w:r w:rsidR="00CE6547" w:rsidRPr="00B45240">
        <w:rPr>
          <w:rFonts w:ascii="Arial" w:hAnsi="Arial" w:cs="Arial"/>
          <w:sz w:val="24"/>
          <w:szCs w:val="24"/>
        </w:rPr>
        <w:t xml:space="preserve"> </w:t>
      </w:r>
      <w:r w:rsidR="0009508E" w:rsidRPr="00B45240">
        <w:rPr>
          <w:rFonts w:ascii="Arial" w:hAnsi="Arial" w:cs="Arial"/>
          <w:sz w:val="24"/>
          <w:szCs w:val="24"/>
        </w:rPr>
        <w:t xml:space="preserve">a) </w:t>
      </w:r>
      <w:r w:rsidRPr="00B45240">
        <w:rPr>
          <w:rFonts w:ascii="Arial" w:hAnsi="Arial" w:cs="Arial"/>
          <w:sz w:val="24"/>
          <w:szCs w:val="24"/>
        </w:rPr>
        <w:t>t</w:t>
      </w:r>
      <w:r w:rsidR="00EA1C28" w:rsidRPr="00B45240">
        <w:rPr>
          <w:rFonts w:ascii="Arial" w:hAnsi="Arial" w:cs="Arial"/>
          <w:sz w:val="24"/>
          <w:szCs w:val="24"/>
        </w:rPr>
        <w:t xml:space="preserve">reba li sud </w:t>
      </w:r>
      <w:r w:rsidR="00CE6547" w:rsidRPr="00B45240">
        <w:rPr>
          <w:rFonts w:ascii="Arial" w:hAnsi="Arial" w:cs="Arial"/>
          <w:sz w:val="24"/>
          <w:szCs w:val="24"/>
        </w:rPr>
        <w:t>donijeti rješenje o nastavku postupka kao da je podnesen prijedlog za otvaranje stečajnog postupka</w:t>
      </w:r>
      <w:r w:rsidR="000F20E6" w:rsidRPr="00B45240">
        <w:rPr>
          <w:rFonts w:ascii="Arial" w:hAnsi="Arial" w:cs="Arial"/>
          <w:sz w:val="24"/>
          <w:szCs w:val="24"/>
        </w:rPr>
        <w:t>,</w:t>
      </w:r>
      <w:r w:rsidR="00CE6547" w:rsidRPr="00B45240">
        <w:rPr>
          <w:rFonts w:ascii="Arial" w:hAnsi="Arial" w:cs="Arial"/>
          <w:sz w:val="24"/>
          <w:szCs w:val="24"/>
        </w:rPr>
        <w:t xml:space="preserve"> ili </w:t>
      </w:r>
      <w:r w:rsidR="0009508E" w:rsidRPr="00B45240">
        <w:rPr>
          <w:rFonts w:ascii="Arial" w:hAnsi="Arial" w:cs="Arial"/>
          <w:sz w:val="24"/>
          <w:szCs w:val="24"/>
        </w:rPr>
        <w:t xml:space="preserve">b) </w:t>
      </w:r>
      <w:r w:rsidR="00CE6547" w:rsidRPr="00B45240">
        <w:rPr>
          <w:rFonts w:ascii="Arial" w:hAnsi="Arial" w:cs="Arial"/>
          <w:sz w:val="24"/>
          <w:szCs w:val="24"/>
        </w:rPr>
        <w:t xml:space="preserve">sud nastavlja postupak bez </w:t>
      </w:r>
      <w:r w:rsidR="00563715">
        <w:rPr>
          <w:rFonts w:ascii="Arial" w:hAnsi="Arial" w:cs="Arial"/>
          <w:sz w:val="24"/>
          <w:szCs w:val="24"/>
        </w:rPr>
        <w:t xml:space="preserve">formalnog donošenja </w:t>
      </w:r>
      <w:r w:rsidR="00CE6547" w:rsidRPr="00B45240">
        <w:rPr>
          <w:rFonts w:ascii="Arial" w:hAnsi="Arial" w:cs="Arial"/>
          <w:sz w:val="24"/>
          <w:szCs w:val="24"/>
        </w:rPr>
        <w:t>rješenja o nastavku postupka</w:t>
      </w:r>
      <w:r w:rsidR="000F20E6" w:rsidRPr="00B45240">
        <w:rPr>
          <w:rFonts w:ascii="Arial" w:hAnsi="Arial" w:cs="Arial"/>
          <w:sz w:val="24"/>
          <w:szCs w:val="24"/>
        </w:rPr>
        <w:t>,</w:t>
      </w:r>
      <w:r w:rsidR="00CE6547" w:rsidRPr="00B45240">
        <w:rPr>
          <w:rFonts w:ascii="Arial" w:hAnsi="Arial" w:cs="Arial"/>
          <w:sz w:val="24"/>
          <w:szCs w:val="24"/>
        </w:rPr>
        <w:t xml:space="preserve"> ili </w:t>
      </w:r>
      <w:r w:rsidR="0009508E" w:rsidRPr="00B45240">
        <w:rPr>
          <w:rFonts w:ascii="Arial" w:hAnsi="Arial" w:cs="Arial"/>
          <w:sz w:val="24"/>
          <w:szCs w:val="24"/>
        </w:rPr>
        <w:t xml:space="preserve">c) </w:t>
      </w:r>
      <w:r w:rsidR="00CE6547" w:rsidRPr="00B45240">
        <w:rPr>
          <w:rFonts w:ascii="Arial" w:hAnsi="Arial" w:cs="Arial"/>
          <w:sz w:val="24"/>
          <w:szCs w:val="24"/>
        </w:rPr>
        <w:t xml:space="preserve">sud treba donijeti rješenje o odbačaju prijedloga za otvaranje </w:t>
      </w:r>
      <w:proofErr w:type="spellStart"/>
      <w:r w:rsidR="00CE6547" w:rsidRPr="00B45240">
        <w:rPr>
          <w:rFonts w:ascii="Arial" w:hAnsi="Arial" w:cs="Arial"/>
          <w:sz w:val="24"/>
          <w:szCs w:val="24"/>
        </w:rPr>
        <w:t>predstečajnog</w:t>
      </w:r>
      <w:proofErr w:type="spellEnd"/>
      <w:r w:rsidR="00CE6547" w:rsidRPr="00B45240">
        <w:rPr>
          <w:rFonts w:ascii="Arial" w:hAnsi="Arial" w:cs="Arial"/>
          <w:sz w:val="24"/>
          <w:szCs w:val="24"/>
        </w:rPr>
        <w:t xml:space="preserve"> postupka te istovremeno i rješenje o nastavku stečajnog postupka. </w:t>
      </w:r>
      <w:r w:rsidR="001A074C" w:rsidRPr="00B45240">
        <w:rPr>
          <w:rFonts w:ascii="Arial" w:hAnsi="Arial" w:cs="Arial"/>
          <w:sz w:val="24"/>
          <w:szCs w:val="24"/>
        </w:rPr>
        <w:t xml:space="preserve">U </w:t>
      </w:r>
      <w:r w:rsidR="000028DD">
        <w:rPr>
          <w:rFonts w:ascii="Arial" w:hAnsi="Arial" w:cs="Arial"/>
          <w:sz w:val="24"/>
          <w:szCs w:val="24"/>
        </w:rPr>
        <w:t>određenim</w:t>
      </w:r>
      <w:r w:rsidR="00862F69" w:rsidRPr="00B45240">
        <w:rPr>
          <w:rFonts w:ascii="Arial" w:hAnsi="Arial" w:cs="Arial"/>
          <w:sz w:val="24"/>
          <w:szCs w:val="24"/>
        </w:rPr>
        <w:t xml:space="preserve"> </w:t>
      </w:r>
      <w:r w:rsidR="00DC204C" w:rsidRPr="00B45240">
        <w:rPr>
          <w:rFonts w:ascii="Arial" w:hAnsi="Arial" w:cs="Arial"/>
          <w:sz w:val="24"/>
          <w:szCs w:val="24"/>
        </w:rPr>
        <w:t>sudski</w:t>
      </w:r>
      <w:r w:rsidR="000028DD">
        <w:rPr>
          <w:rFonts w:ascii="Arial" w:hAnsi="Arial" w:cs="Arial"/>
          <w:sz w:val="24"/>
          <w:szCs w:val="24"/>
        </w:rPr>
        <w:t>m</w:t>
      </w:r>
      <w:r w:rsidR="00DC204C" w:rsidRPr="00B45240">
        <w:rPr>
          <w:rFonts w:ascii="Arial" w:hAnsi="Arial" w:cs="Arial"/>
          <w:sz w:val="24"/>
          <w:szCs w:val="24"/>
        </w:rPr>
        <w:t xml:space="preserve"> </w:t>
      </w:r>
      <w:r w:rsidR="00F93C96" w:rsidRPr="00B45240">
        <w:rPr>
          <w:rFonts w:ascii="Arial" w:hAnsi="Arial" w:cs="Arial"/>
          <w:sz w:val="24"/>
          <w:szCs w:val="24"/>
        </w:rPr>
        <w:t>odluka</w:t>
      </w:r>
      <w:r w:rsidR="000028DD">
        <w:rPr>
          <w:rFonts w:ascii="Arial" w:hAnsi="Arial" w:cs="Arial"/>
          <w:sz w:val="24"/>
          <w:szCs w:val="24"/>
        </w:rPr>
        <w:t>ma</w:t>
      </w:r>
      <w:r w:rsidR="00EA1C28" w:rsidRPr="00B45240">
        <w:rPr>
          <w:rFonts w:ascii="Arial" w:hAnsi="Arial" w:cs="Arial"/>
          <w:sz w:val="24"/>
          <w:szCs w:val="24"/>
        </w:rPr>
        <w:t xml:space="preserve"> </w:t>
      </w:r>
      <w:r w:rsidR="001A074C" w:rsidRPr="00B45240">
        <w:rPr>
          <w:rFonts w:ascii="Arial" w:hAnsi="Arial" w:cs="Arial"/>
          <w:sz w:val="24"/>
          <w:szCs w:val="24"/>
        </w:rPr>
        <w:t xml:space="preserve">izloženo je shvaćanje </w:t>
      </w:r>
      <w:r w:rsidR="00653667" w:rsidRPr="00B45240">
        <w:rPr>
          <w:rFonts w:ascii="Arial" w:hAnsi="Arial" w:cs="Arial"/>
          <w:sz w:val="24"/>
          <w:szCs w:val="24"/>
        </w:rPr>
        <w:t xml:space="preserve">da sud </w:t>
      </w:r>
      <w:r w:rsidR="00B72E9A" w:rsidRPr="00B45240">
        <w:rPr>
          <w:rFonts w:ascii="Arial" w:hAnsi="Arial" w:cs="Arial"/>
          <w:sz w:val="24"/>
          <w:szCs w:val="24"/>
        </w:rPr>
        <w:t xml:space="preserve">nastavlja postupak </w:t>
      </w:r>
      <w:r w:rsidR="005E1F2D" w:rsidRPr="00B45240">
        <w:rPr>
          <w:rFonts w:ascii="Arial" w:hAnsi="Arial" w:cs="Arial"/>
          <w:sz w:val="24"/>
          <w:szCs w:val="24"/>
          <w:lang w:val="x-none"/>
        </w:rPr>
        <w:t>kao da je podnesen prijedlog za o</w:t>
      </w:r>
      <w:r w:rsidR="000028DD">
        <w:rPr>
          <w:rFonts w:ascii="Arial" w:hAnsi="Arial" w:cs="Arial"/>
          <w:sz w:val="24"/>
          <w:szCs w:val="24"/>
          <w:lang w:val="x-none"/>
        </w:rPr>
        <w:t>tvaranje stečajnog</w:t>
      </w:r>
      <w:r w:rsidR="005E1F2D" w:rsidRPr="00B45240">
        <w:rPr>
          <w:rFonts w:ascii="Arial" w:hAnsi="Arial" w:cs="Arial"/>
          <w:sz w:val="24"/>
          <w:szCs w:val="24"/>
          <w:lang w:val="x-none"/>
        </w:rPr>
        <w:t xml:space="preserve"> postupka</w:t>
      </w:r>
      <w:r w:rsidR="005E1F2D" w:rsidRPr="00B45240">
        <w:rPr>
          <w:rFonts w:ascii="Arial" w:hAnsi="Arial" w:cs="Arial"/>
          <w:sz w:val="24"/>
          <w:szCs w:val="24"/>
        </w:rPr>
        <w:t xml:space="preserve"> </w:t>
      </w:r>
      <w:r w:rsidR="00B72E9A" w:rsidRPr="00B45240">
        <w:rPr>
          <w:rFonts w:ascii="Arial" w:hAnsi="Arial" w:cs="Arial"/>
          <w:sz w:val="24"/>
          <w:szCs w:val="24"/>
        </w:rPr>
        <w:t>bez donošenja posebnog rješenja</w:t>
      </w:r>
      <w:r w:rsidR="00862F69" w:rsidRPr="00B45240">
        <w:rPr>
          <w:rFonts w:ascii="Arial" w:hAnsi="Arial" w:cs="Arial"/>
          <w:sz w:val="24"/>
          <w:szCs w:val="24"/>
        </w:rPr>
        <w:t xml:space="preserve"> o nastavku postupka</w:t>
      </w:r>
      <w:r w:rsidR="00B72E9A" w:rsidRPr="00B45240">
        <w:rPr>
          <w:rFonts w:ascii="Arial" w:hAnsi="Arial" w:cs="Arial"/>
          <w:sz w:val="24"/>
          <w:szCs w:val="24"/>
        </w:rPr>
        <w:t>.</w:t>
      </w:r>
      <w:r w:rsidR="00EA1C28" w:rsidRPr="00B45240">
        <w:rPr>
          <w:rFonts w:ascii="Arial" w:hAnsi="Arial" w:cs="Arial"/>
          <w:sz w:val="24"/>
          <w:szCs w:val="24"/>
        </w:rPr>
        <w:t xml:space="preserve"> </w:t>
      </w:r>
      <w:r w:rsidR="001A074C" w:rsidRPr="00B45240">
        <w:rPr>
          <w:rFonts w:ascii="Arial" w:hAnsi="Arial" w:cs="Arial"/>
          <w:sz w:val="24"/>
          <w:szCs w:val="24"/>
        </w:rPr>
        <w:t>Međutim, ako</w:t>
      </w:r>
      <w:r w:rsidR="000400B3" w:rsidRPr="00B45240">
        <w:rPr>
          <w:rFonts w:ascii="Arial" w:hAnsi="Arial" w:cs="Arial"/>
          <w:sz w:val="24"/>
          <w:szCs w:val="24"/>
        </w:rPr>
        <w:t xml:space="preserve"> sud </w:t>
      </w:r>
      <w:r w:rsidR="005D2480" w:rsidRPr="00B45240">
        <w:rPr>
          <w:rFonts w:ascii="Arial" w:hAnsi="Arial" w:cs="Arial"/>
          <w:sz w:val="24"/>
          <w:szCs w:val="24"/>
        </w:rPr>
        <w:t xml:space="preserve">ne </w:t>
      </w:r>
      <w:r w:rsidR="000F20E6" w:rsidRPr="00B45240">
        <w:rPr>
          <w:rFonts w:ascii="Arial" w:hAnsi="Arial" w:cs="Arial"/>
          <w:sz w:val="24"/>
          <w:szCs w:val="24"/>
        </w:rPr>
        <w:t xml:space="preserve">bi </w:t>
      </w:r>
      <w:r w:rsidR="005D2480" w:rsidRPr="00B45240">
        <w:rPr>
          <w:rFonts w:ascii="Arial" w:hAnsi="Arial" w:cs="Arial"/>
          <w:sz w:val="24"/>
          <w:szCs w:val="24"/>
        </w:rPr>
        <w:t>don</w:t>
      </w:r>
      <w:r w:rsidR="000F20E6" w:rsidRPr="00B45240">
        <w:rPr>
          <w:rFonts w:ascii="Arial" w:hAnsi="Arial" w:cs="Arial"/>
          <w:sz w:val="24"/>
          <w:szCs w:val="24"/>
        </w:rPr>
        <w:t>io</w:t>
      </w:r>
      <w:r w:rsidR="005D2480" w:rsidRPr="00B45240">
        <w:rPr>
          <w:rFonts w:ascii="Arial" w:hAnsi="Arial" w:cs="Arial"/>
          <w:sz w:val="24"/>
          <w:szCs w:val="24"/>
        </w:rPr>
        <w:t xml:space="preserve"> rješenj</w:t>
      </w:r>
      <w:r w:rsidR="000F20E6" w:rsidRPr="00B45240">
        <w:rPr>
          <w:rFonts w:ascii="Arial" w:hAnsi="Arial" w:cs="Arial"/>
          <w:sz w:val="24"/>
          <w:szCs w:val="24"/>
        </w:rPr>
        <w:t>e</w:t>
      </w:r>
      <w:r w:rsidR="005D2480" w:rsidRPr="00B45240">
        <w:rPr>
          <w:rFonts w:ascii="Arial" w:hAnsi="Arial" w:cs="Arial"/>
          <w:sz w:val="24"/>
          <w:szCs w:val="24"/>
        </w:rPr>
        <w:t xml:space="preserve"> o nastavku postupka kao da je podnesen prijedlog za otvaranje stečajnog postupka opravdano se postav</w:t>
      </w:r>
      <w:r w:rsidR="0071026B" w:rsidRPr="00B45240">
        <w:rPr>
          <w:rFonts w:ascii="Arial" w:hAnsi="Arial" w:cs="Arial"/>
          <w:sz w:val="24"/>
          <w:szCs w:val="24"/>
        </w:rPr>
        <w:t>lja</w:t>
      </w:r>
      <w:r w:rsidR="005D2480" w:rsidRPr="00B45240">
        <w:rPr>
          <w:rFonts w:ascii="Arial" w:hAnsi="Arial" w:cs="Arial"/>
          <w:sz w:val="24"/>
          <w:szCs w:val="24"/>
        </w:rPr>
        <w:t xml:space="preserve"> pitanje </w:t>
      </w:r>
      <w:r w:rsidR="00B96F1C">
        <w:rPr>
          <w:rFonts w:ascii="Arial" w:hAnsi="Arial" w:cs="Arial"/>
          <w:sz w:val="24"/>
          <w:szCs w:val="24"/>
        </w:rPr>
        <w:t>kako</w:t>
      </w:r>
      <w:r w:rsidR="005D2480" w:rsidRPr="00B45240">
        <w:rPr>
          <w:rFonts w:ascii="Arial" w:hAnsi="Arial" w:cs="Arial"/>
          <w:sz w:val="24"/>
          <w:szCs w:val="24"/>
        </w:rPr>
        <w:t xml:space="preserve"> će vjer</w:t>
      </w:r>
      <w:r w:rsidR="00DE265F" w:rsidRPr="00B45240">
        <w:rPr>
          <w:rFonts w:ascii="Arial" w:hAnsi="Arial" w:cs="Arial"/>
          <w:sz w:val="24"/>
          <w:szCs w:val="24"/>
        </w:rPr>
        <w:t>ovnici</w:t>
      </w:r>
      <w:r w:rsidR="00B96F1C">
        <w:rPr>
          <w:rFonts w:ascii="Arial" w:hAnsi="Arial" w:cs="Arial"/>
          <w:sz w:val="24"/>
          <w:szCs w:val="24"/>
        </w:rPr>
        <w:t>,</w:t>
      </w:r>
      <w:r w:rsidR="00DE265F" w:rsidRPr="00B45240">
        <w:rPr>
          <w:rFonts w:ascii="Arial" w:hAnsi="Arial" w:cs="Arial"/>
          <w:sz w:val="24"/>
          <w:szCs w:val="24"/>
        </w:rPr>
        <w:t xml:space="preserve"> ali i dužnik znati koji se postupak vodi nad </w:t>
      </w:r>
      <w:r w:rsidR="005D2480" w:rsidRPr="00B45240">
        <w:rPr>
          <w:rFonts w:ascii="Arial" w:hAnsi="Arial" w:cs="Arial"/>
          <w:sz w:val="24"/>
          <w:szCs w:val="24"/>
        </w:rPr>
        <w:t>dužnik</w:t>
      </w:r>
      <w:r w:rsidR="00DE265F" w:rsidRPr="00B45240">
        <w:rPr>
          <w:rFonts w:ascii="Arial" w:hAnsi="Arial" w:cs="Arial"/>
          <w:sz w:val="24"/>
          <w:szCs w:val="24"/>
        </w:rPr>
        <w:t>om</w:t>
      </w:r>
      <w:r w:rsidR="005D2480" w:rsidRPr="00B45240">
        <w:rPr>
          <w:rFonts w:ascii="Arial" w:hAnsi="Arial" w:cs="Arial"/>
          <w:sz w:val="24"/>
          <w:szCs w:val="24"/>
        </w:rPr>
        <w:t xml:space="preserve"> – </w:t>
      </w:r>
      <w:proofErr w:type="spellStart"/>
      <w:r w:rsidR="005D2480" w:rsidRPr="00B45240">
        <w:rPr>
          <w:rFonts w:ascii="Arial" w:hAnsi="Arial" w:cs="Arial"/>
          <w:sz w:val="24"/>
          <w:szCs w:val="24"/>
        </w:rPr>
        <w:t>predstečajn</w:t>
      </w:r>
      <w:r w:rsidR="00DE265F" w:rsidRPr="00B45240">
        <w:rPr>
          <w:rFonts w:ascii="Arial" w:hAnsi="Arial" w:cs="Arial"/>
          <w:sz w:val="24"/>
          <w:szCs w:val="24"/>
        </w:rPr>
        <w:t>i</w:t>
      </w:r>
      <w:proofErr w:type="spellEnd"/>
      <w:r w:rsidR="005D2480" w:rsidRPr="00B45240">
        <w:rPr>
          <w:rFonts w:ascii="Arial" w:hAnsi="Arial" w:cs="Arial"/>
          <w:sz w:val="24"/>
          <w:szCs w:val="24"/>
        </w:rPr>
        <w:t xml:space="preserve"> ili stečajn</w:t>
      </w:r>
      <w:r w:rsidR="00DE265F" w:rsidRPr="00B45240">
        <w:rPr>
          <w:rFonts w:ascii="Arial" w:hAnsi="Arial" w:cs="Arial"/>
          <w:sz w:val="24"/>
          <w:szCs w:val="24"/>
        </w:rPr>
        <w:t>i</w:t>
      </w:r>
      <w:r w:rsidR="005D2480" w:rsidRPr="00B45240">
        <w:rPr>
          <w:rFonts w:ascii="Arial" w:hAnsi="Arial" w:cs="Arial"/>
          <w:sz w:val="24"/>
          <w:szCs w:val="24"/>
        </w:rPr>
        <w:t xml:space="preserve">. </w:t>
      </w:r>
      <w:r w:rsidR="00AD3C68" w:rsidRPr="00B45240">
        <w:rPr>
          <w:rFonts w:ascii="Arial" w:hAnsi="Arial" w:cs="Arial"/>
          <w:sz w:val="24"/>
          <w:szCs w:val="24"/>
        </w:rPr>
        <w:t xml:space="preserve">To je bitno jer za vrijeme </w:t>
      </w:r>
      <w:proofErr w:type="spellStart"/>
      <w:r w:rsidR="00AD3C68" w:rsidRPr="00B45240">
        <w:rPr>
          <w:rFonts w:ascii="Arial" w:hAnsi="Arial" w:cs="Arial"/>
          <w:sz w:val="24"/>
          <w:szCs w:val="24"/>
        </w:rPr>
        <w:t>predstečajnog</w:t>
      </w:r>
      <w:proofErr w:type="spellEnd"/>
      <w:r w:rsidR="00AD3C68" w:rsidRPr="00B45240">
        <w:rPr>
          <w:rFonts w:ascii="Arial" w:hAnsi="Arial" w:cs="Arial"/>
          <w:sz w:val="24"/>
          <w:szCs w:val="24"/>
        </w:rPr>
        <w:t xml:space="preserve"> postupka ne može se pokrenuti stečajni postupak. U vezi s </w:t>
      </w:r>
      <w:r w:rsidR="00563715">
        <w:rPr>
          <w:rFonts w:ascii="Arial" w:hAnsi="Arial" w:cs="Arial"/>
          <w:sz w:val="24"/>
          <w:szCs w:val="24"/>
        </w:rPr>
        <w:t xml:space="preserve">navedenim </w:t>
      </w:r>
      <w:r w:rsidR="00AD3C68" w:rsidRPr="00B45240">
        <w:rPr>
          <w:rFonts w:ascii="Arial" w:hAnsi="Arial" w:cs="Arial"/>
          <w:sz w:val="24"/>
          <w:szCs w:val="24"/>
        </w:rPr>
        <w:t>mora se znati kad</w:t>
      </w:r>
      <w:r w:rsidR="00563715">
        <w:rPr>
          <w:rFonts w:ascii="Arial" w:hAnsi="Arial" w:cs="Arial"/>
          <w:sz w:val="24"/>
          <w:szCs w:val="24"/>
        </w:rPr>
        <w:t>a</w:t>
      </w:r>
      <w:r w:rsidR="00AD3C68" w:rsidRPr="00B45240">
        <w:rPr>
          <w:rFonts w:ascii="Arial" w:hAnsi="Arial" w:cs="Arial"/>
          <w:sz w:val="24"/>
          <w:szCs w:val="24"/>
        </w:rPr>
        <w:t xml:space="preserve"> je </w:t>
      </w:r>
      <w:r w:rsidR="0071026B" w:rsidRPr="00B45240">
        <w:rPr>
          <w:rFonts w:ascii="Arial" w:hAnsi="Arial" w:cs="Arial"/>
          <w:sz w:val="24"/>
          <w:szCs w:val="24"/>
        </w:rPr>
        <w:t>okončan</w:t>
      </w:r>
      <w:r w:rsidR="00AD3C68" w:rsidRPr="00B45240">
        <w:rPr>
          <w:rFonts w:ascii="Arial" w:hAnsi="Arial" w:cs="Arial"/>
          <w:sz w:val="24"/>
          <w:szCs w:val="24"/>
        </w:rPr>
        <w:t xml:space="preserve"> </w:t>
      </w:r>
      <w:proofErr w:type="spellStart"/>
      <w:r w:rsidR="00AD3C68" w:rsidRPr="00B45240">
        <w:rPr>
          <w:rFonts w:ascii="Arial" w:hAnsi="Arial" w:cs="Arial"/>
          <w:sz w:val="24"/>
          <w:szCs w:val="24"/>
        </w:rPr>
        <w:t>predstečajni</w:t>
      </w:r>
      <w:proofErr w:type="spellEnd"/>
      <w:r w:rsidR="00AD3C68" w:rsidRPr="00B45240">
        <w:rPr>
          <w:rFonts w:ascii="Arial" w:hAnsi="Arial" w:cs="Arial"/>
          <w:sz w:val="24"/>
          <w:szCs w:val="24"/>
        </w:rPr>
        <w:t xml:space="preserve"> i </w:t>
      </w:r>
      <w:r w:rsidR="0071026B" w:rsidRPr="00B45240">
        <w:rPr>
          <w:rFonts w:ascii="Arial" w:hAnsi="Arial" w:cs="Arial"/>
          <w:sz w:val="24"/>
          <w:szCs w:val="24"/>
        </w:rPr>
        <w:t>kad</w:t>
      </w:r>
      <w:r w:rsidR="00563715">
        <w:rPr>
          <w:rFonts w:ascii="Arial" w:hAnsi="Arial" w:cs="Arial"/>
          <w:sz w:val="24"/>
          <w:szCs w:val="24"/>
        </w:rPr>
        <w:t>a</w:t>
      </w:r>
      <w:r w:rsidR="0071026B" w:rsidRPr="00B45240">
        <w:rPr>
          <w:rFonts w:ascii="Arial" w:hAnsi="Arial" w:cs="Arial"/>
          <w:sz w:val="24"/>
          <w:szCs w:val="24"/>
        </w:rPr>
        <w:t xml:space="preserve"> je </w:t>
      </w:r>
      <w:r w:rsidR="00AD3C68" w:rsidRPr="00B45240">
        <w:rPr>
          <w:rFonts w:ascii="Arial" w:hAnsi="Arial" w:cs="Arial"/>
          <w:sz w:val="24"/>
          <w:szCs w:val="24"/>
        </w:rPr>
        <w:t xml:space="preserve">počeo stečajni postupak. </w:t>
      </w:r>
      <w:r w:rsidR="00862F69" w:rsidRPr="00B45240">
        <w:rPr>
          <w:rFonts w:ascii="Arial" w:hAnsi="Arial" w:cs="Arial"/>
          <w:sz w:val="24"/>
          <w:szCs w:val="24"/>
        </w:rPr>
        <w:t>Čini se da je donošenje rješenja o nastavku postupka kao da je podnesen prijedlog za otvaranje stečajnog postupka prihvaćeno od većine prvostupan</w:t>
      </w:r>
      <w:r w:rsidR="00C65FAF" w:rsidRPr="00B45240">
        <w:rPr>
          <w:rFonts w:ascii="Arial" w:hAnsi="Arial" w:cs="Arial"/>
          <w:sz w:val="24"/>
          <w:szCs w:val="24"/>
        </w:rPr>
        <w:t>j</w:t>
      </w:r>
      <w:r w:rsidR="00862F69" w:rsidRPr="00B45240">
        <w:rPr>
          <w:rFonts w:ascii="Arial" w:hAnsi="Arial" w:cs="Arial"/>
          <w:sz w:val="24"/>
          <w:szCs w:val="24"/>
        </w:rPr>
        <w:t>skih sudova.</w:t>
      </w:r>
      <w:r w:rsidR="00563715">
        <w:rPr>
          <w:rStyle w:val="Referencafusnote"/>
          <w:rFonts w:ascii="Arial" w:hAnsi="Arial" w:cs="Arial"/>
          <w:sz w:val="24"/>
          <w:szCs w:val="24"/>
        </w:rPr>
        <w:footnoteReference w:id="93"/>
      </w:r>
      <w:r w:rsidR="00862F69" w:rsidRPr="00B45240">
        <w:rPr>
          <w:rFonts w:ascii="Arial" w:hAnsi="Arial" w:cs="Arial"/>
          <w:sz w:val="24"/>
          <w:szCs w:val="24"/>
        </w:rPr>
        <w:t xml:space="preserve"> </w:t>
      </w:r>
    </w:p>
    <w:p w:rsidR="007F0F42" w:rsidRPr="00B45240" w:rsidRDefault="00E8373C" w:rsidP="0009508E">
      <w:pPr>
        <w:autoSpaceDE w:val="0"/>
        <w:autoSpaceDN w:val="0"/>
        <w:adjustRightInd w:val="0"/>
        <w:spacing w:before="120" w:after="120" w:line="240" w:lineRule="auto"/>
        <w:jc w:val="both"/>
        <w:rPr>
          <w:rFonts w:ascii="Arial" w:hAnsi="Arial" w:cs="Arial"/>
          <w:sz w:val="24"/>
          <w:szCs w:val="24"/>
        </w:rPr>
      </w:pPr>
      <w:r w:rsidRPr="00B45240">
        <w:rPr>
          <w:rFonts w:ascii="Arial" w:hAnsi="Arial" w:cs="Arial"/>
          <w:sz w:val="24"/>
          <w:szCs w:val="24"/>
        </w:rPr>
        <w:tab/>
      </w:r>
      <w:r w:rsidR="004E50EF" w:rsidRPr="00B45240">
        <w:rPr>
          <w:rFonts w:ascii="Arial" w:hAnsi="Arial" w:cs="Arial"/>
          <w:sz w:val="24"/>
          <w:szCs w:val="24"/>
        </w:rPr>
        <w:t xml:space="preserve">U </w:t>
      </w:r>
      <w:r w:rsidR="0071026B" w:rsidRPr="00B45240">
        <w:rPr>
          <w:rFonts w:ascii="Arial" w:hAnsi="Arial" w:cs="Arial"/>
          <w:sz w:val="24"/>
          <w:szCs w:val="24"/>
        </w:rPr>
        <w:t xml:space="preserve">nekim </w:t>
      </w:r>
      <w:r w:rsidR="004E50EF" w:rsidRPr="00B45240">
        <w:rPr>
          <w:rFonts w:ascii="Arial" w:hAnsi="Arial" w:cs="Arial"/>
          <w:sz w:val="24"/>
          <w:szCs w:val="24"/>
        </w:rPr>
        <w:t xml:space="preserve">odlukama sud je istim  rješenjem </w:t>
      </w:r>
      <w:r w:rsidR="00AD3C68" w:rsidRPr="00B45240">
        <w:rPr>
          <w:rFonts w:ascii="Arial" w:hAnsi="Arial" w:cs="Arial"/>
          <w:sz w:val="24"/>
          <w:szCs w:val="24"/>
        </w:rPr>
        <w:t xml:space="preserve">odbacio prijedlog za otvaranje </w:t>
      </w:r>
      <w:proofErr w:type="spellStart"/>
      <w:r w:rsidR="004E50EF" w:rsidRPr="00B45240">
        <w:rPr>
          <w:rFonts w:ascii="Arial" w:hAnsi="Arial" w:cs="Arial"/>
          <w:sz w:val="24"/>
          <w:szCs w:val="24"/>
        </w:rPr>
        <w:t>predstečajn</w:t>
      </w:r>
      <w:r w:rsidR="00AD3C68" w:rsidRPr="00B45240">
        <w:rPr>
          <w:rFonts w:ascii="Arial" w:hAnsi="Arial" w:cs="Arial"/>
          <w:sz w:val="24"/>
          <w:szCs w:val="24"/>
        </w:rPr>
        <w:t>og</w:t>
      </w:r>
      <w:proofErr w:type="spellEnd"/>
      <w:r w:rsidR="004E50EF" w:rsidRPr="00B45240">
        <w:rPr>
          <w:rFonts w:ascii="Arial" w:hAnsi="Arial" w:cs="Arial"/>
          <w:sz w:val="24"/>
          <w:szCs w:val="24"/>
        </w:rPr>
        <w:t xml:space="preserve"> postup</w:t>
      </w:r>
      <w:r w:rsidR="00AD3C68" w:rsidRPr="00B45240">
        <w:rPr>
          <w:rFonts w:ascii="Arial" w:hAnsi="Arial" w:cs="Arial"/>
          <w:sz w:val="24"/>
          <w:szCs w:val="24"/>
        </w:rPr>
        <w:t>k</w:t>
      </w:r>
      <w:r w:rsidR="004E50EF" w:rsidRPr="00B45240">
        <w:rPr>
          <w:rFonts w:ascii="Arial" w:hAnsi="Arial" w:cs="Arial"/>
          <w:sz w:val="24"/>
          <w:szCs w:val="24"/>
        </w:rPr>
        <w:t>a</w:t>
      </w:r>
      <w:r w:rsidR="00AD3C68" w:rsidRPr="00B45240">
        <w:rPr>
          <w:rFonts w:ascii="Arial" w:hAnsi="Arial" w:cs="Arial"/>
          <w:sz w:val="24"/>
          <w:szCs w:val="24"/>
        </w:rPr>
        <w:t xml:space="preserve"> i don</w:t>
      </w:r>
      <w:r w:rsidR="004E50EF" w:rsidRPr="00B45240">
        <w:rPr>
          <w:rFonts w:ascii="Arial" w:hAnsi="Arial" w:cs="Arial"/>
          <w:sz w:val="24"/>
          <w:szCs w:val="24"/>
        </w:rPr>
        <w:t xml:space="preserve">io rješenje o nastavku stečajnog postupka. </w:t>
      </w:r>
      <w:r w:rsidR="00450B63" w:rsidRPr="00B45240">
        <w:rPr>
          <w:rFonts w:ascii="Arial" w:hAnsi="Arial" w:cs="Arial"/>
          <w:sz w:val="24"/>
          <w:szCs w:val="24"/>
        </w:rPr>
        <w:t xml:space="preserve">Zagovornici ovog rješenja smatraju da </w:t>
      </w:r>
      <w:proofErr w:type="spellStart"/>
      <w:r w:rsidR="00450B63" w:rsidRPr="00B45240">
        <w:rPr>
          <w:rFonts w:ascii="Arial" w:hAnsi="Arial" w:cs="Arial"/>
          <w:sz w:val="24"/>
          <w:szCs w:val="24"/>
        </w:rPr>
        <w:t>predstečajni</w:t>
      </w:r>
      <w:proofErr w:type="spellEnd"/>
      <w:r w:rsidR="00450B63" w:rsidRPr="00B45240">
        <w:rPr>
          <w:rFonts w:ascii="Arial" w:hAnsi="Arial" w:cs="Arial"/>
          <w:sz w:val="24"/>
          <w:szCs w:val="24"/>
        </w:rPr>
        <w:t xml:space="preserve"> postupak treba okončati rješenjem </w:t>
      </w:r>
      <w:r w:rsidR="00054BD5" w:rsidRPr="00B45240">
        <w:rPr>
          <w:rFonts w:ascii="Arial" w:hAnsi="Arial" w:cs="Arial"/>
          <w:sz w:val="24"/>
          <w:szCs w:val="24"/>
        </w:rPr>
        <w:t>o odbačaju</w:t>
      </w:r>
      <w:r w:rsidR="00862F69" w:rsidRPr="00B45240">
        <w:rPr>
          <w:rFonts w:ascii="Arial" w:hAnsi="Arial" w:cs="Arial"/>
          <w:sz w:val="24"/>
          <w:szCs w:val="24"/>
        </w:rPr>
        <w:t xml:space="preserve"> prijedloga</w:t>
      </w:r>
      <w:r w:rsidR="00054BD5" w:rsidRPr="00B45240">
        <w:rPr>
          <w:rFonts w:ascii="Arial" w:hAnsi="Arial" w:cs="Arial"/>
          <w:sz w:val="24"/>
          <w:szCs w:val="24"/>
        </w:rPr>
        <w:t>, a nakon toga se predmnijeva</w:t>
      </w:r>
      <w:r w:rsidR="00450B63" w:rsidRPr="00B45240">
        <w:rPr>
          <w:rFonts w:ascii="Arial" w:hAnsi="Arial" w:cs="Arial"/>
          <w:sz w:val="24"/>
          <w:szCs w:val="24"/>
        </w:rPr>
        <w:t xml:space="preserve"> da je podnesen prijedlog za otvaranje stečajnog postupka te sud treba donijeti rješenje o nastavku </w:t>
      </w:r>
      <w:r w:rsidR="00862F69" w:rsidRPr="00B45240">
        <w:rPr>
          <w:rFonts w:ascii="Arial" w:hAnsi="Arial" w:cs="Arial"/>
          <w:sz w:val="24"/>
          <w:szCs w:val="24"/>
        </w:rPr>
        <w:t xml:space="preserve">postupka </w:t>
      </w:r>
      <w:r w:rsidR="00C05063" w:rsidRPr="00B45240">
        <w:rPr>
          <w:rFonts w:ascii="Arial" w:hAnsi="Arial" w:cs="Arial"/>
          <w:sz w:val="24"/>
          <w:szCs w:val="24"/>
        </w:rPr>
        <w:t xml:space="preserve">kao da je podnesen prijedlog za otvaranje </w:t>
      </w:r>
      <w:r w:rsidR="00450B63" w:rsidRPr="00B45240">
        <w:rPr>
          <w:rFonts w:ascii="Arial" w:hAnsi="Arial" w:cs="Arial"/>
          <w:sz w:val="24"/>
          <w:szCs w:val="24"/>
        </w:rPr>
        <w:t>stečajnog postupka.</w:t>
      </w:r>
      <w:r w:rsidR="00862F69" w:rsidRPr="00B45240">
        <w:rPr>
          <w:rFonts w:ascii="Arial" w:hAnsi="Arial" w:cs="Arial"/>
          <w:sz w:val="24"/>
          <w:szCs w:val="24"/>
        </w:rPr>
        <w:t xml:space="preserve"> </w:t>
      </w:r>
      <w:r w:rsidR="00563715">
        <w:rPr>
          <w:rFonts w:ascii="Arial" w:hAnsi="Arial" w:cs="Arial"/>
          <w:sz w:val="24"/>
          <w:szCs w:val="24"/>
        </w:rPr>
        <w:t>Zagovornici ovog shvaćanja o</w:t>
      </w:r>
      <w:r w:rsidR="00862F69" w:rsidRPr="00B45240">
        <w:rPr>
          <w:rFonts w:ascii="Arial" w:hAnsi="Arial" w:cs="Arial"/>
          <w:sz w:val="24"/>
          <w:szCs w:val="24"/>
        </w:rPr>
        <w:t xml:space="preserve">pravdanje za navedeno shvaćanje </w:t>
      </w:r>
      <w:r w:rsidR="00563715">
        <w:rPr>
          <w:rFonts w:ascii="Arial" w:hAnsi="Arial" w:cs="Arial"/>
          <w:sz w:val="24"/>
          <w:szCs w:val="24"/>
        </w:rPr>
        <w:t xml:space="preserve">pronalaze </w:t>
      </w:r>
      <w:r w:rsidR="00862F69" w:rsidRPr="00B45240">
        <w:rPr>
          <w:rFonts w:ascii="Arial" w:hAnsi="Arial" w:cs="Arial"/>
          <w:sz w:val="24"/>
          <w:szCs w:val="24"/>
        </w:rPr>
        <w:t xml:space="preserve">u odredbi Zakona koja propisuje da nije dopušteno pokretanje stečajnog postupka do završetka </w:t>
      </w:r>
      <w:proofErr w:type="spellStart"/>
      <w:r w:rsidR="00862F69" w:rsidRPr="00B45240">
        <w:rPr>
          <w:rFonts w:ascii="Arial" w:hAnsi="Arial" w:cs="Arial"/>
          <w:sz w:val="24"/>
          <w:szCs w:val="24"/>
        </w:rPr>
        <w:t>predstečaj</w:t>
      </w:r>
      <w:r w:rsidR="000028DD">
        <w:rPr>
          <w:rFonts w:ascii="Arial" w:hAnsi="Arial" w:cs="Arial"/>
          <w:sz w:val="24"/>
          <w:szCs w:val="24"/>
        </w:rPr>
        <w:t>nog</w:t>
      </w:r>
      <w:proofErr w:type="spellEnd"/>
      <w:r w:rsidR="00862F69" w:rsidRPr="00B45240">
        <w:rPr>
          <w:rFonts w:ascii="Arial" w:hAnsi="Arial" w:cs="Arial"/>
          <w:sz w:val="24"/>
          <w:szCs w:val="24"/>
        </w:rPr>
        <w:t xml:space="preserve"> postupka ako je pokrenut</w:t>
      </w:r>
      <w:r w:rsidR="00862F69" w:rsidRPr="00B45240">
        <w:rPr>
          <w:rStyle w:val="Referencafusnote"/>
          <w:rFonts w:ascii="Arial" w:hAnsi="Arial" w:cs="Arial"/>
          <w:sz w:val="24"/>
          <w:szCs w:val="24"/>
        </w:rPr>
        <w:footnoteReference w:id="94"/>
      </w:r>
      <w:r w:rsidR="00862F69" w:rsidRPr="00B45240">
        <w:rPr>
          <w:rFonts w:ascii="Arial" w:hAnsi="Arial" w:cs="Arial"/>
          <w:sz w:val="24"/>
          <w:szCs w:val="24"/>
        </w:rPr>
        <w:t>. Bez rješenja o odbačaju prijedloga nema završetka postupka.</w:t>
      </w:r>
      <w:r w:rsidR="000028DD">
        <w:rPr>
          <w:rFonts w:ascii="Arial" w:hAnsi="Arial" w:cs="Arial"/>
          <w:sz w:val="24"/>
          <w:szCs w:val="24"/>
        </w:rPr>
        <w:t xml:space="preserve"> </w:t>
      </w:r>
      <w:r w:rsidR="00563715">
        <w:rPr>
          <w:rFonts w:ascii="Arial" w:hAnsi="Arial" w:cs="Arial"/>
          <w:sz w:val="24"/>
          <w:szCs w:val="24"/>
        </w:rPr>
        <w:t xml:space="preserve">Nadalje, u zakonu postoji mogućnost da sud rješenjem obustavi </w:t>
      </w:r>
      <w:proofErr w:type="spellStart"/>
      <w:r w:rsidR="00563715">
        <w:rPr>
          <w:rFonts w:ascii="Arial" w:hAnsi="Arial" w:cs="Arial"/>
          <w:sz w:val="24"/>
          <w:szCs w:val="24"/>
        </w:rPr>
        <w:t>predstečani</w:t>
      </w:r>
      <w:proofErr w:type="spellEnd"/>
      <w:r w:rsidR="00563715">
        <w:rPr>
          <w:rFonts w:ascii="Arial" w:hAnsi="Arial" w:cs="Arial"/>
          <w:sz w:val="24"/>
          <w:szCs w:val="24"/>
        </w:rPr>
        <w:t xml:space="preserve"> postupak i nastavi postupak kao da je podnesen prijedlog za otvaranje stečajnog postupka.</w:t>
      </w:r>
      <w:r w:rsidR="00563715">
        <w:rPr>
          <w:rStyle w:val="Referencafusnote"/>
          <w:rFonts w:ascii="Arial" w:hAnsi="Arial" w:cs="Arial"/>
          <w:sz w:val="24"/>
          <w:szCs w:val="24"/>
        </w:rPr>
        <w:footnoteReference w:id="95"/>
      </w:r>
      <w:r w:rsidR="00563715">
        <w:rPr>
          <w:rFonts w:ascii="Arial" w:hAnsi="Arial" w:cs="Arial"/>
          <w:sz w:val="24"/>
          <w:szCs w:val="24"/>
        </w:rPr>
        <w:t xml:space="preserve"> S</w:t>
      </w:r>
      <w:r w:rsidR="000028DD">
        <w:rPr>
          <w:rFonts w:ascii="Arial" w:hAnsi="Arial" w:cs="Arial"/>
          <w:sz w:val="24"/>
          <w:szCs w:val="24"/>
        </w:rPr>
        <w:t xml:space="preserve">lična situacija postoji i u parničnom postupku, ako sud utvrdi da bi </w:t>
      </w:r>
      <w:r w:rsidR="00563715">
        <w:rPr>
          <w:rFonts w:ascii="Arial" w:hAnsi="Arial" w:cs="Arial"/>
          <w:sz w:val="24"/>
          <w:szCs w:val="24"/>
        </w:rPr>
        <w:t xml:space="preserve">parnični </w:t>
      </w:r>
      <w:r w:rsidR="000028DD">
        <w:rPr>
          <w:rFonts w:ascii="Arial" w:hAnsi="Arial" w:cs="Arial"/>
          <w:sz w:val="24"/>
          <w:szCs w:val="24"/>
        </w:rPr>
        <w:t xml:space="preserve">postupak trebalo provesti po pravilima izvanparničnog </w:t>
      </w:r>
      <w:r w:rsidR="000028DD">
        <w:rPr>
          <w:rFonts w:ascii="Arial" w:hAnsi="Arial" w:cs="Arial"/>
          <w:sz w:val="24"/>
          <w:szCs w:val="24"/>
        </w:rPr>
        <w:lastRenderedPageBreak/>
        <w:t>postupka</w:t>
      </w:r>
      <w:r w:rsidR="00563715">
        <w:rPr>
          <w:rFonts w:ascii="Arial" w:hAnsi="Arial" w:cs="Arial"/>
          <w:sz w:val="24"/>
          <w:szCs w:val="24"/>
        </w:rPr>
        <w:t>,</w:t>
      </w:r>
      <w:r w:rsidR="000028DD">
        <w:rPr>
          <w:rFonts w:ascii="Arial" w:hAnsi="Arial" w:cs="Arial"/>
          <w:sz w:val="24"/>
          <w:szCs w:val="24"/>
        </w:rPr>
        <w:t xml:space="preserve"> rješenjem će obustaviti parni</w:t>
      </w:r>
      <w:r w:rsidR="00563715">
        <w:rPr>
          <w:rFonts w:ascii="Arial" w:hAnsi="Arial" w:cs="Arial"/>
          <w:sz w:val="24"/>
          <w:szCs w:val="24"/>
        </w:rPr>
        <w:t>čni postupak. Postupak će se na</w:t>
      </w:r>
      <w:r w:rsidR="000028DD">
        <w:rPr>
          <w:rFonts w:ascii="Arial" w:hAnsi="Arial" w:cs="Arial"/>
          <w:sz w:val="24"/>
          <w:szCs w:val="24"/>
        </w:rPr>
        <w:t>kon pravomoćnosti rješenja nastaviti po pravilima izvanparničnog postupka pred nadležnim sudom.</w:t>
      </w:r>
      <w:r w:rsidR="000028DD">
        <w:rPr>
          <w:rStyle w:val="Referencafusnote"/>
          <w:rFonts w:ascii="Arial" w:hAnsi="Arial" w:cs="Arial"/>
          <w:sz w:val="24"/>
          <w:szCs w:val="24"/>
        </w:rPr>
        <w:footnoteReference w:id="96"/>
      </w:r>
      <w:r w:rsidR="000028DD">
        <w:rPr>
          <w:rFonts w:ascii="Arial" w:hAnsi="Arial" w:cs="Arial"/>
          <w:sz w:val="24"/>
          <w:szCs w:val="24"/>
        </w:rPr>
        <w:t xml:space="preserve"> </w:t>
      </w:r>
    </w:p>
    <w:p w:rsidR="0009508E" w:rsidRPr="007C6CC5" w:rsidRDefault="0009508E" w:rsidP="0009508E">
      <w:pPr>
        <w:autoSpaceDE w:val="0"/>
        <w:autoSpaceDN w:val="0"/>
        <w:adjustRightInd w:val="0"/>
        <w:spacing w:before="120" w:after="120" w:line="240" w:lineRule="auto"/>
        <w:jc w:val="both"/>
        <w:rPr>
          <w:rFonts w:ascii="Arial" w:hAnsi="Arial" w:cs="Arial"/>
          <w:sz w:val="24"/>
          <w:szCs w:val="24"/>
        </w:rPr>
      </w:pPr>
      <w:r w:rsidRPr="00B45240">
        <w:rPr>
          <w:rFonts w:ascii="Arial" w:hAnsi="Arial" w:cs="Arial"/>
          <w:sz w:val="24"/>
          <w:szCs w:val="24"/>
        </w:rPr>
        <w:tab/>
        <w:t>U slučaju nastavka postupka kao da je podnesen prijedlog za otvaranje stečajnog</w:t>
      </w:r>
      <w:r w:rsidR="0071026B" w:rsidRPr="00B45240">
        <w:rPr>
          <w:rFonts w:ascii="Arial" w:hAnsi="Arial" w:cs="Arial"/>
          <w:sz w:val="24"/>
          <w:szCs w:val="24"/>
        </w:rPr>
        <w:t xml:space="preserve"> postupka može se </w:t>
      </w:r>
      <w:r w:rsidR="00054BD5" w:rsidRPr="00B45240">
        <w:rPr>
          <w:rFonts w:ascii="Arial" w:hAnsi="Arial" w:cs="Arial"/>
          <w:sz w:val="24"/>
          <w:szCs w:val="24"/>
        </w:rPr>
        <w:t>javiti d</w:t>
      </w:r>
      <w:r w:rsidR="005A35F9">
        <w:rPr>
          <w:rFonts w:ascii="Arial" w:hAnsi="Arial" w:cs="Arial"/>
          <w:sz w:val="24"/>
          <w:szCs w:val="24"/>
        </w:rPr>
        <w:t>ilema</w:t>
      </w:r>
      <w:r w:rsidR="00054BD5" w:rsidRPr="00B45240">
        <w:rPr>
          <w:rFonts w:ascii="Arial" w:hAnsi="Arial" w:cs="Arial"/>
          <w:sz w:val="24"/>
          <w:szCs w:val="24"/>
        </w:rPr>
        <w:t xml:space="preserve"> oko računanja rokova u stečajnom postupku. </w:t>
      </w:r>
      <w:r w:rsidRPr="00B45240">
        <w:rPr>
          <w:rFonts w:ascii="Arial" w:hAnsi="Arial" w:cs="Arial"/>
          <w:sz w:val="24"/>
          <w:szCs w:val="24"/>
        </w:rPr>
        <w:t>A</w:t>
      </w:r>
      <w:proofErr w:type="spellStart"/>
      <w:r w:rsidRPr="00B45240">
        <w:rPr>
          <w:rFonts w:ascii="Arial" w:hAnsi="Arial" w:cs="Arial"/>
          <w:sz w:val="24"/>
          <w:szCs w:val="24"/>
          <w:lang w:val="x-none"/>
        </w:rPr>
        <w:t>ko</w:t>
      </w:r>
      <w:proofErr w:type="spellEnd"/>
      <w:r w:rsidRPr="00B45240">
        <w:rPr>
          <w:rFonts w:ascii="Arial" w:hAnsi="Arial" w:cs="Arial"/>
          <w:sz w:val="24"/>
          <w:szCs w:val="24"/>
          <w:lang w:val="x-none"/>
        </w:rPr>
        <w:t xml:space="preserve"> je p</w:t>
      </w:r>
      <w:r w:rsidR="005A35F9">
        <w:rPr>
          <w:rFonts w:ascii="Arial" w:hAnsi="Arial" w:cs="Arial"/>
          <w:sz w:val="24"/>
          <w:szCs w:val="24"/>
          <w:lang w:val="x-none"/>
        </w:rPr>
        <w:t>rije otvaranja stečajnog</w:t>
      </w:r>
      <w:r w:rsidRPr="00B45240">
        <w:rPr>
          <w:rFonts w:ascii="Arial" w:hAnsi="Arial" w:cs="Arial"/>
          <w:sz w:val="24"/>
          <w:szCs w:val="24"/>
          <w:lang w:val="x-none"/>
        </w:rPr>
        <w:t xml:space="preserve"> postupka već vođen </w:t>
      </w:r>
      <w:proofErr w:type="spellStart"/>
      <w:r w:rsidRPr="00B45240">
        <w:rPr>
          <w:rFonts w:ascii="Arial" w:hAnsi="Arial" w:cs="Arial"/>
          <w:sz w:val="24"/>
          <w:szCs w:val="24"/>
          <w:lang w:val="x-none"/>
        </w:rPr>
        <w:t>predstečajni</w:t>
      </w:r>
      <w:proofErr w:type="spellEnd"/>
      <w:r w:rsidRPr="00B45240">
        <w:rPr>
          <w:rFonts w:ascii="Arial" w:hAnsi="Arial" w:cs="Arial"/>
          <w:sz w:val="24"/>
          <w:szCs w:val="24"/>
          <w:lang w:val="x-none"/>
        </w:rPr>
        <w:t xml:space="preserve"> postupak, rokovi </w:t>
      </w:r>
      <w:r w:rsidR="00054BD5" w:rsidRPr="00B45240">
        <w:rPr>
          <w:rFonts w:ascii="Arial" w:hAnsi="Arial" w:cs="Arial"/>
          <w:sz w:val="24"/>
          <w:szCs w:val="24"/>
        </w:rPr>
        <w:t xml:space="preserve">u stečajnom postupku </w:t>
      </w:r>
      <w:r w:rsidRPr="00B45240">
        <w:rPr>
          <w:rFonts w:ascii="Arial" w:hAnsi="Arial" w:cs="Arial"/>
          <w:sz w:val="24"/>
          <w:szCs w:val="24"/>
          <w:lang w:val="x-none"/>
        </w:rPr>
        <w:t>se računaju od početka dana u mjesecu koji brojem odgovara danu kada je podnesen prije</w:t>
      </w:r>
      <w:r w:rsidR="007C6CC5">
        <w:rPr>
          <w:rFonts w:ascii="Arial" w:hAnsi="Arial" w:cs="Arial"/>
          <w:sz w:val="24"/>
          <w:szCs w:val="24"/>
          <w:lang w:val="x-none"/>
        </w:rPr>
        <w:t xml:space="preserve">dlog za otvaranje </w:t>
      </w:r>
      <w:proofErr w:type="spellStart"/>
      <w:r w:rsidR="007C6CC5">
        <w:rPr>
          <w:rFonts w:ascii="Arial" w:hAnsi="Arial" w:cs="Arial"/>
          <w:sz w:val="24"/>
          <w:szCs w:val="24"/>
          <w:lang w:val="x-none"/>
        </w:rPr>
        <w:t>predstečajnog</w:t>
      </w:r>
      <w:proofErr w:type="spellEnd"/>
      <w:r w:rsidRPr="00B45240">
        <w:rPr>
          <w:rFonts w:ascii="Arial" w:hAnsi="Arial" w:cs="Arial"/>
          <w:sz w:val="24"/>
          <w:szCs w:val="24"/>
          <w:lang w:val="x-none"/>
        </w:rPr>
        <w:t xml:space="preserve"> postupka</w:t>
      </w:r>
      <w:r w:rsidRPr="00B45240">
        <w:rPr>
          <w:rStyle w:val="Referencafusnote"/>
          <w:rFonts w:ascii="Arial" w:hAnsi="Arial" w:cs="Arial"/>
          <w:sz w:val="24"/>
          <w:szCs w:val="24"/>
          <w:lang w:val="x-none"/>
        </w:rPr>
        <w:footnoteReference w:id="97"/>
      </w:r>
      <w:r w:rsidRPr="00B45240">
        <w:rPr>
          <w:rFonts w:ascii="Arial" w:hAnsi="Arial" w:cs="Arial"/>
          <w:sz w:val="24"/>
          <w:szCs w:val="24"/>
          <w:lang w:val="x-none"/>
        </w:rPr>
        <w:t>.</w:t>
      </w:r>
      <w:r w:rsidR="007C6CC5">
        <w:rPr>
          <w:rFonts w:ascii="Arial" w:hAnsi="Arial" w:cs="Arial"/>
          <w:sz w:val="24"/>
          <w:szCs w:val="24"/>
        </w:rPr>
        <w:t xml:space="preserve"> Prim</w:t>
      </w:r>
      <w:r w:rsidR="00CA583B">
        <w:rPr>
          <w:rFonts w:ascii="Arial" w:hAnsi="Arial" w:cs="Arial"/>
          <w:sz w:val="24"/>
          <w:szCs w:val="24"/>
        </w:rPr>
        <w:t>j</w:t>
      </w:r>
      <w:r w:rsidR="007C6CC5">
        <w:rPr>
          <w:rFonts w:ascii="Arial" w:hAnsi="Arial" w:cs="Arial"/>
          <w:sz w:val="24"/>
          <w:szCs w:val="24"/>
        </w:rPr>
        <w:t>era radi tako je određeno za prestanak prava stečenih ovrhom ili osiguranjem</w:t>
      </w:r>
      <w:r w:rsidR="00CA583B">
        <w:rPr>
          <w:rFonts w:ascii="Arial" w:hAnsi="Arial" w:cs="Arial"/>
          <w:sz w:val="24"/>
          <w:szCs w:val="24"/>
        </w:rPr>
        <w:t xml:space="preserve"> prije otvaranja stečajnog postupka</w:t>
      </w:r>
      <w:r w:rsidR="007C6CC5">
        <w:rPr>
          <w:rFonts w:ascii="Arial" w:hAnsi="Arial" w:cs="Arial"/>
          <w:sz w:val="24"/>
          <w:szCs w:val="24"/>
        </w:rPr>
        <w:t>.</w:t>
      </w:r>
      <w:r w:rsidR="007C6CC5">
        <w:rPr>
          <w:rStyle w:val="Referencafusnote"/>
          <w:rFonts w:ascii="Arial" w:hAnsi="Arial" w:cs="Arial"/>
          <w:sz w:val="24"/>
          <w:szCs w:val="24"/>
        </w:rPr>
        <w:footnoteReference w:id="98"/>
      </w:r>
    </w:p>
    <w:p w:rsidR="00C05063" w:rsidRPr="00B45240" w:rsidRDefault="00C05063" w:rsidP="00653667">
      <w:pPr>
        <w:autoSpaceDE w:val="0"/>
        <w:autoSpaceDN w:val="0"/>
        <w:adjustRightInd w:val="0"/>
        <w:spacing w:before="150" w:after="150" w:line="240" w:lineRule="auto"/>
        <w:ind w:firstLine="705"/>
        <w:jc w:val="both"/>
        <w:rPr>
          <w:rFonts w:ascii="Arial" w:hAnsi="Arial" w:cs="Arial"/>
          <w:sz w:val="24"/>
          <w:szCs w:val="24"/>
        </w:rPr>
      </w:pPr>
      <w:r w:rsidRPr="00B45240">
        <w:rPr>
          <w:rFonts w:ascii="Arial" w:hAnsi="Arial" w:cs="Arial"/>
          <w:sz w:val="24"/>
          <w:szCs w:val="24"/>
        </w:rPr>
        <w:t xml:space="preserve">Nije isključena situacija da je prijedlog za otvaranje </w:t>
      </w:r>
      <w:proofErr w:type="spellStart"/>
      <w:r w:rsidRPr="00B45240">
        <w:rPr>
          <w:rFonts w:ascii="Arial" w:hAnsi="Arial" w:cs="Arial"/>
          <w:sz w:val="24"/>
          <w:szCs w:val="24"/>
        </w:rPr>
        <w:t>predstečajnog</w:t>
      </w:r>
      <w:proofErr w:type="spellEnd"/>
      <w:r w:rsidRPr="00B45240">
        <w:rPr>
          <w:rFonts w:ascii="Arial" w:hAnsi="Arial" w:cs="Arial"/>
          <w:sz w:val="24"/>
          <w:szCs w:val="24"/>
        </w:rPr>
        <w:t xml:space="preserve"> postupka </w:t>
      </w:r>
      <w:r w:rsidR="00C65FAF" w:rsidRPr="00B45240">
        <w:rPr>
          <w:rFonts w:ascii="Arial" w:hAnsi="Arial" w:cs="Arial"/>
          <w:sz w:val="24"/>
          <w:szCs w:val="24"/>
        </w:rPr>
        <w:t xml:space="preserve">nad dužnikom pojedincem </w:t>
      </w:r>
      <w:r w:rsidRPr="00B45240">
        <w:rPr>
          <w:rFonts w:ascii="Arial" w:hAnsi="Arial" w:cs="Arial"/>
          <w:sz w:val="24"/>
          <w:szCs w:val="24"/>
        </w:rPr>
        <w:t xml:space="preserve">podnio vjerovnik uz suglasnost dužnika pojedinca. </w:t>
      </w:r>
      <w:r w:rsidR="00E1295D" w:rsidRPr="00B45240">
        <w:rPr>
          <w:rFonts w:ascii="Arial" w:hAnsi="Arial" w:cs="Arial"/>
          <w:sz w:val="24"/>
          <w:szCs w:val="24"/>
        </w:rPr>
        <w:t xml:space="preserve">Ako sud utvrdi da </w:t>
      </w:r>
      <w:r w:rsidR="00F4724B">
        <w:rPr>
          <w:rFonts w:ascii="Arial" w:hAnsi="Arial" w:cs="Arial"/>
          <w:sz w:val="24"/>
          <w:szCs w:val="24"/>
        </w:rPr>
        <w:t xml:space="preserve">takav </w:t>
      </w:r>
      <w:r w:rsidR="00B41D90" w:rsidRPr="00B45240">
        <w:rPr>
          <w:rFonts w:ascii="Arial" w:hAnsi="Arial" w:cs="Arial"/>
          <w:sz w:val="24"/>
          <w:szCs w:val="24"/>
        </w:rPr>
        <w:t xml:space="preserve">prijedlog treba odbaciti ili </w:t>
      </w:r>
      <w:r w:rsidR="00E1295D" w:rsidRPr="00B45240">
        <w:rPr>
          <w:rFonts w:ascii="Arial" w:hAnsi="Arial" w:cs="Arial"/>
          <w:sz w:val="24"/>
          <w:szCs w:val="24"/>
        </w:rPr>
        <w:t xml:space="preserve">obustaviti </w:t>
      </w:r>
      <w:r w:rsidR="00F4724B">
        <w:rPr>
          <w:rFonts w:ascii="Arial" w:hAnsi="Arial" w:cs="Arial"/>
          <w:sz w:val="24"/>
          <w:szCs w:val="24"/>
        </w:rPr>
        <w:t xml:space="preserve">postupak, postavlja se pitanje </w:t>
      </w:r>
      <w:r w:rsidR="00E1295D" w:rsidRPr="00B45240">
        <w:rPr>
          <w:rFonts w:ascii="Arial" w:hAnsi="Arial" w:cs="Arial"/>
          <w:sz w:val="24"/>
          <w:szCs w:val="24"/>
        </w:rPr>
        <w:t xml:space="preserve">može li </w:t>
      </w:r>
      <w:r w:rsidR="00F4724B">
        <w:rPr>
          <w:rFonts w:ascii="Arial" w:hAnsi="Arial" w:cs="Arial"/>
          <w:sz w:val="24"/>
          <w:szCs w:val="24"/>
        </w:rPr>
        <w:t xml:space="preserve">sud </w:t>
      </w:r>
      <w:r w:rsidR="00E1295D" w:rsidRPr="00B45240">
        <w:rPr>
          <w:rFonts w:ascii="Arial" w:hAnsi="Arial" w:cs="Arial"/>
          <w:sz w:val="24"/>
          <w:szCs w:val="24"/>
        </w:rPr>
        <w:t>nastaviti postupak kao da je podnesen prijedlog za otvaranje stečajnog postupka. Imajući u vidu odredbu članka 109. st</w:t>
      </w:r>
      <w:r w:rsidR="00B96F1C">
        <w:rPr>
          <w:rFonts w:ascii="Arial" w:hAnsi="Arial" w:cs="Arial"/>
          <w:sz w:val="24"/>
          <w:szCs w:val="24"/>
        </w:rPr>
        <w:t>avak</w:t>
      </w:r>
      <w:r w:rsidR="00E1295D" w:rsidRPr="00B45240">
        <w:rPr>
          <w:rFonts w:ascii="Arial" w:hAnsi="Arial" w:cs="Arial"/>
          <w:sz w:val="24"/>
          <w:szCs w:val="24"/>
        </w:rPr>
        <w:t xml:space="preserve"> 7. SZ-a prema kojoj prijedlog za otvaranje stečajnog postupka nad imovinom dužnika pojedinca može podnijeti samo dužnik</w:t>
      </w:r>
      <w:r w:rsidR="00CA583B">
        <w:rPr>
          <w:rFonts w:ascii="Arial" w:hAnsi="Arial" w:cs="Arial"/>
          <w:sz w:val="24"/>
          <w:szCs w:val="24"/>
        </w:rPr>
        <w:t xml:space="preserve"> pojedinac</w:t>
      </w:r>
      <w:r w:rsidR="00E1295D" w:rsidRPr="00B45240">
        <w:rPr>
          <w:rFonts w:ascii="Arial" w:hAnsi="Arial" w:cs="Arial"/>
          <w:sz w:val="24"/>
          <w:szCs w:val="24"/>
        </w:rPr>
        <w:t xml:space="preserve">, mišljenja smo da sud ne bi mogao nastaviti postupak kao da je podnesen prijedlog za otvaranje stečajnog postupka jer takav prijedlog nije </w:t>
      </w:r>
      <w:r w:rsidR="0009508E" w:rsidRPr="00B45240">
        <w:rPr>
          <w:rFonts w:ascii="Arial" w:hAnsi="Arial" w:cs="Arial"/>
          <w:sz w:val="24"/>
          <w:szCs w:val="24"/>
        </w:rPr>
        <w:t xml:space="preserve">podnio </w:t>
      </w:r>
      <w:r w:rsidR="00E1295D" w:rsidRPr="00B45240">
        <w:rPr>
          <w:rFonts w:ascii="Arial" w:hAnsi="Arial" w:cs="Arial"/>
          <w:sz w:val="24"/>
          <w:szCs w:val="24"/>
        </w:rPr>
        <w:t>dužnik</w:t>
      </w:r>
      <w:r w:rsidR="00F4724B">
        <w:rPr>
          <w:rFonts w:ascii="Arial" w:hAnsi="Arial" w:cs="Arial"/>
          <w:sz w:val="24"/>
          <w:szCs w:val="24"/>
        </w:rPr>
        <w:t xml:space="preserve"> pojedinac</w:t>
      </w:r>
      <w:r w:rsidR="00E1295D" w:rsidRPr="00B45240">
        <w:rPr>
          <w:rFonts w:ascii="Arial" w:hAnsi="Arial" w:cs="Arial"/>
          <w:sz w:val="24"/>
          <w:szCs w:val="24"/>
        </w:rPr>
        <w:t>.</w:t>
      </w:r>
      <w:r w:rsidR="00F4724B">
        <w:rPr>
          <w:rStyle w:val="Referencafusnote"/>
          <w:rFonts w:ascii="Arial" w:hAnsi="Arial" w:cs="Arial"/>
          <w:sz w:val="24"/>
          <w:szCs w:val="24"/>
        </w:rPr>
        <w:footnoteReference w:id="99"/>
      </w:r>
      <w:r w:rsidR="00E1295D" w:rsidRPr="00B45240">
        <w:rPr>
          <w:rFonts w:ascii="Arial" w:hAnsi="Arial" w:cs="Arial"/>
          <w:sz w:val="24"/>
          <w:szCs w:val="24"/>
        </w:rPr>
        <w:t xml:space="preserve"> </w:t>
      </w:r>
    </w:p>
    <w:p w:rsidR="000A6239" w:rsidRPr="00B45240" w:rsidRDefault="000A6239" w:rsidP="00653667">
      <w:pPr>
        <w:autoSpaceDE w:val="0"/>
        <w:autoSpaceDN w:val="0"/>
        <w:adjustRightInd w:val="0"/>
        <w:spacing w:before="150" w:after="150" w:line="240" w:lineRule="auto"/>
        <w:ind w:firstLine="705"/>
        <w:jc w:val="both"/>
        <w:rPr>
          <w:rFonts w:ascii="Arial" w:hAnsi="Arial" w:cs="Arial"/>
          <w:sz w:val="24"/>
          <w:szCs w:val="24"/>
        </w:rPr>
      </w:pPr>
    </w:p>
    <w:p w:rsidR="006F6DA5" w:rsidRPr="00951AD8" w:rsidRDefault="00951AD8" w:rsidP="00951AD8">
      <w:pPr>
        <w:pStyle w:val="Naslov3"/>
      </w:pPr>
      <w:bookmarkStart w:id="16" w:name="_Toc507067614"/>
      <w:r>
        <w:t xml:space="preserve">2.1.2. </w:t>
      </w:r>
      <w:r w:rsidR="006F6DA5" w:rsidRPr="00951AD8">
        <w:t>Predujam troškova postupka</w:t>
      </w:r>
      <w:bookmarkEnd w:id="16"/>
    </w:p>
    <w:p w:rsidR="00CD5359" w:rsidRPr="00B45240" w:rsidRDefault="00B47372" w:rsidP="000400B3">
      <w:pPr>
        <w:autoSpaceDE w:val="0"/>
        <w:autoSpaceDN w:val="0"/>
        <w:adjustRightInd w:val="0"/>
        <w:spacing w:before="150" w:after="150" w:line="240" w:lineRule="auto"/>
        <w:ind w:firstLine="705"/>
        <w:jc w:val="both"/>
        <w:rPr>
          <w:rFonts w:ascii="Arial" w:hAnsi="Arial" w:cs="Arial"/>
          <w:sz w:val="24"/>
          <w:szCs w:val="24"/>
        </w:rPr>
      </w:pPr>
      <w:r w:rsidRPr="00B45240">
        <w:rPr>
          <w:rFonts w:ascii="Arial" w:hAnsi="Arial" w:cs="Arial"/>
          <w:sz w:val="24"/>
          <w:szCs w:val="24"/>
        </w:rPr>
        <w:t xml:space="preserve">Podnositelj </w:t>
      </w:r>
      <w:r w:rsidR="001A074C" w:rsidRPr="00B45240">
        <w:rPr>
          <w:rFonts w:ascii="Arial" w:hAnsi="Arial" w:cs="Arial"/>
          <w:sz w:val="24"/>
          <w:szCs w:val="24"/>
        </w:rPr>
        <w:t xml:space="preserve">prijedloga dužan je uplatiti predujam za troškove </w:t>
      </w:r>
      <w:proofErr w:type="spellStart"/>
      <w:r w:rsidR="001A074C" w:rsidRPr="00B45240">
        <w:rPr>
          <w:rFonts w:ascii="Arial" w:hAnsi="Arial" w:cs="Arial"/>
          <w:sz w:val="24"/>
          <w:szCs w:val="24"/>
        </w:rPr>
        <w:t>predstečajnog</w:t>
      </w:r>
      <w:proofErr w:type="spellEnd"/>
      <w:r w:rsidR="001A074C" w:rsidRPr="00B45240">
        <w:rPr>
          <w:rFonts w:ascii="Arial" w:hAnsi="Arial" w:cs="Arial"/>
          <w:sz w:val="24"/>
          <w:szCs w:val="24"/>
        </w:rPr>
        <w:t xml:space="preserve"> postupka u iznosu od 5.000,00 kn</w:t>
      </w:r>
      <w:r w:rsidR="00EA4838" w:rsidRPr="00B45240">
        <w:rPr>
          <w:rFonts w:ascii="Arial" w:hAnsi="Arial" w:cs="Arial"/>
          <w:sz w:val="24"/>
          <w:szCs w:val="24"/>
        </w:rPr>
        <w:t xml:space="preserve">. </w:t>
      </w:r>
      <w:r w:rsidRPr="00B45240">
        <w:rPr>
          <w:rFonts w:ascii="Arial" w:hAnsi="Arial" w:cs="Arial"/>
          <w:sz w:val="24"/>
          <w:szCs w:val="24"/>
        </w:rPr>
        <w:t xml:space="preserve">Zakonodavac nije odredio da je podnositelj prijedloga </w:t>
      </w:r>
      <w:r w:rsidR="007213BD" w:rsidRPr="00B45240">
        <w:rPr>
          <w:rFonts w:ascii="Arial" w:hAnsi="Arial" w:cs="Arial"/>
          <w:sz w:val="24"/>
          <w:szCs w:val="24"/>
        </w:rPr>
        <w:t xml:space="preserve">dužan dokaz o plaćanju </w:t>
      </w:r>
      <w:r w:rsidRPr="00B45240">
        <w:rPr>
          <w:rFonts w:ascii="Arial" w:hAnsi="Arial" w:cs="Arial"/>
          <w:sz w:val="24"/>
          <w:szCs w:val="24"/>
        </w:rPr>
        <w:t xml:space="preserve">predujma troškova </w:t>
      </w:r>
      <w:r w:rsidR="00605DB0" w:rsidRPr="00B45240">
        <w:rPr>
          <w:rFonts w:ascii="Arial" w:hAnsi="Arial" w:cs="Arial"/>
          <w:sz w:val="24"/>
          <w:szCs w:val="24"/>
        </w:rPr>
        <w:t xml:space="preserve">postupka </w:t>
      </w:r>
      <w:r w:rsidR="007213BD" w:rsidRPr="00B45240">
        <w:rPr>
          <w:rFonts w:ascii="Arial" w:hAnsi="Arial" w:cs="Arial"/>
          <w:sz w:val="24"/>
          <w:szCs w:val="24"/>
        </w:rPr>
        <w:t xml:space="preserve">dostaviti uz prijedlog. </w:t>
      </w:r>
      <w:r w:rsidR="00054BD5" w:rsidRPr="00B45240">
        <w:rPr>
          <w:rFonts w:ascii="Arial" w:hAnsi="Arial" w:cs="Arial"/>
          <w:sz w:val="24"/>
          <w:szCs w:val="24"/>
        </w:rPr>
        <w:t>D</w:t>
      </w:r>
      <w:r w:rsidRPr="00B45240">
        <w:rPr>
          <w:rFonts w:ascii="Arial" w:hAnsi="Arial" w:cs="Arial"/>
          <w:sz w:val="24"/>
          <w:szCs w:val="24"/>
        </w:rPr>
        <w:t>okaz o plać</w:t>
      </w:r>
      <w:r w:rsidR="007213BD" w:rsidRPr="00B45240">
        <w:rPr>
          <w:rFonts w:ascii="Arial" w:hAnsi="Arial" w:cs="Arial"/>
          <w:sz w:val="24"/>
          <w:szCs w:val="24"/>
        </w:rPr>
        <w:t xml:space="preserve">anju predujma </w:t>
      </w:r>
      <w:r w:rsidRPr="00B45240">
        <w:rPr>
          <w:rFonts w:ascii="Arial" w:hAnsi="Arial" w:cs="Arial"/>
          <w:sz w:val="24"/>
          <w:szCs w:val="24"/>
        </w:rPr>
        <w:t>nije nužan sadržaj pri</w:t>
      </w:r>
      <w:r w:rsidR="003B3853" w:rsidRPr="00B45240">
        <w:rPr>
          <w:rFonts w:ascii="Arial" w:hAnsi="Arial" w:cs="Arial"/>
          <w:sz w:val="24"/>
          <w:szCs w:val="24"/>
        </w:rPr>
        <w:t xml:space="preserve">jedloga za otvaranje </w:t>
      </w:r>
      <w:proofErr w:type="spellStart"/>
      <w:r w:rsidR="007213BD" w:rsidRPr="00B45240">
        <w:rPr>
          <w:rFonts w:ascii="Arial" w:hAnsi="Arial" w:cs="Arial"/>
          <w:sz w:val="24"/>
          <w:szCs w:val="24"/>
        </w:rPr>
        <w:t>predstečajn</w:t>
      </w:r>
      <w:r w:rsidRPr="00B45240">
        <w:rPr>
          <w:rFonts w:ascii="Arial" w:hAnsi="Arial" w:cs="Arial"/>
          <w:sz w:val="24"/>
          <w:szCs w:val="24"/>
        </w:rPr>
        <w:t>og</w:t>
      </w:r>
      <w:proofErr w:type="spellEnd"/>
      <w:r w:rsidRPr="00B45240">
        <w:rPr>
          <w:rFonts w:ascii="Arial" w:hAnsi="Arial" w:cs="Arial"/>
          <w:sz w:val="24"/>
          <w:szCs w:val="24"/>
        </w:rPr>
        <w:t xml:space="preserve"> postupka</w:t>
      </w:r>
      <w:r w:rsidR="007213BD" w:rsidRPr="00B45240">
        <w:rPr>
          <w:rStyle w:val="Referencafusnote"/>
          <w:rFonts w:ascii="Arial" w:hAnsi="Arial" w:cs="Arial"/>
          <w:sz w:val="24"/>
          <w:szCs w:val="24"/>
        </w:rPr>
        <w:footnoteReference w:id="100"/>
      </w:r>
      <w:r w:rsidRPr="00B45240">
        <w:rPr>
          <w:rFonts w:ascii="Arial" w:hAnsi="Arial" w:cs="Arial"/>
          <w:sz w:val="24"/>
          <w:szCs w:val="24"/>
        </w:rPr>
        <w:t>.</w:t>
      </w:r>
      <w:r w:rsidR="00DC204C" w:rsidRPr="00B45240">
        <w:rPr>
          <w:rFonts w:ascii="Arial" w:hAnsi="Arial" w:cs="Arial"/>
          <w:sz w:val="24"/>
          <w:szCs w:val="24"/>
        </w:rPr>
        <w:t xml:space="preserve"> Ako podnositelj prijedloga n</w:t>
      </w:r>
      <w:r w:rsidR="003B3853" w:rsidRPr="00B45240">
        <w:rPr>
          <w:rFonts w:ascii="Arial" w:hAnsi="Arial" w:cs="Arial"/>
          <w:sz w:val="24"/>
          <w:szCs w:val="24"/>
        </w:rPr>
        <w:t>ij</w:t>
      </w:r>
      <w:r w:rsidR="00DC204C" w:rsidRPr="00B45240">
        <w:rPr>
          <w:rFonts w:ascii="Arial" w:hAnsi="Arial" w:cs="Arial"/>
          <w:sz w:val="24"/>
          <w:szCs w:val="24"/>
        </w:rPr>
        <w:t xml:space="preserve">e uplatio predujam troškova postupka </w:t>
      </w:r>
      <w:r w:rsidR="008B1BC5" w:rsidRPr="00B45240">
        <w:rPr>
          <w:rFonts w:ascii="Arial" w:hAnsi="Arial" w:cs="Arial"/>
          <w:sz w:val="24"/>
          <w:szCs w:val="24"/>
        </w:rPr>
        <w:t xml:space="preserve">ili nije </w:t>
      </w:r>
      <w:r w:rsidR="00B96F1C">
        <w:rPr>
          <w:rFonts w:ascii="Arial" w:hAnsi="Arial" w:cs="Arial"/>
          <w:sz w:val="24"/>
          <w:szCs w:val="24"/>
        </w:rPr>
        <w:t xml:space="preserve">uz prijedlog </w:t>
      </w:r>
      <w:r w:rsidR="008B1BC5" w:rsidRPr="00B45240">
        <w:rPr>
          <w:rFonts w:ascii="Arial" w:hAnsi="Arial" w:cs="Arial"/>
          <w:sz w:val="24"/>
          <w:szCs w:val="24"/>
        </w:rPr>
        <w:t>dostavio dokaz o plaćanju</w:t>
      </w:r>
      <w:r w:rsidR="00B96F1C">
        <w:rPr>
          <w:rFonts w:ascii="Arial" w:hAnsi="Arial" w:cs="Arial"/>
          <w:sz w:val="24"/>
          <w:szCs w:val="24"/>
        </w:rPr>
        <w:t>,</w:t>
      </w:r>
      <w:r w:rsidR="008B1BC5" w:rsidRPr="00B45240">
        <w:rPr>
          <w:rFonts w:ascii="Arial" w:hAnsi="Arial" w:cs="Arial"/>
          <w:sz w:val="24"/>
          <w:szCs w:val="24"/>
        </w:rPr>
        <w:t xml:space="preserve"> </w:t>
      </w:r>
      <w:r w:rsidR="00DC204C" w:rsidRPr="00B45240">
        <w:rPr>
          <w:rFonts w:ascii="Arial" w:hAnsi="Arial" w:cs="Arial"/>
          <w:sz w:val="24"/>
          <w:szCs w:val="24"/>
        </w:rPr>
        <w:t>sud je dužan pozvati</w:t>
      </w:r>
      <w:r w:rsidR="008B1BC5" w:rsidRPr="00B45240">
        <w:rPr>
          <w:rFonts w:ascii="Arial" w:hAnsi="Arial" w:cs="Arial"/>
          <w:sz w:val="24"/>
          <w:szCs w:val="24"/>
        </w:rPr>
        <w:t xml:space="preserve"> </w:t>
      </w:r>
      <w:r w:rsidR="00B96F1C">
        <w:rPr>
          <w:rFonts w:ascii="Arial" w:hAnsi="Arial" w:cs="Arial"/>
          <w:sz w:val="24"/>
          <w:szCs w:val="24"/>
        </w:rPr>
        <w:t xml:space="preserve">predlagatelja </w:t>
      </w:r>
      <w:r w:rsidR="008B1BC5" w:rsidRPr="00B45240">
        <w:rPr>
          <w:rFonts w:ascii="Arial" w:hAnsi="Arial" w:cs="Arial"/>
          <w:sz w:val="24"/>
          <w:szCs w:val="24"/>
        </w:rPr>
        <w:t xml:space="preserve">na plaćanje </w:t>
      </w:r>
      <w:r w:rsidR="00B96F1C">
        <w:rPr>
          <w:rFonts w:ascii="Arial" w:hAnsi="Arial" w:cs="Arial"/>
          <w:sz w:val="24"/>
          <w:szCs w:val="24"/>
        </w:rPr>
        <w:t xml:space="preserve">predujma </w:t>
      </w:r>
      <w:r w:rsidR="008B1BC5" w:rsidRPr="00B45240">
        <w:rPr>
          <w:rFonts w:ascii="Arial" w:hAnsi="Arial" w:cs="Arial"/>
          <w:sz w:val="24"/>
          <w:szCs w:val="24"/>
        </w:rPr>
        <w:t xml:space="preserve">u određenom roku. </w:t>
      </w:r>
      <w:r w:rsidR="00B96F1C">
        <w:rPr>
          <w:rFonts w:ascii="Arial" w:hAnsi="Arial" w:cs="Arial"/>
          <w:sz w:val="24"/>
          <w:szCs w:val="24"/>
        </w:rPr>
        <w:t xml:space="preserve">Ako predujam </w:t>
      </w:r>
      <w:r w:rsidR="00B96F1C" w:rsidRPr="00B45240">
        <w:rPr>
          <w:rFonts w:ascii="Arial" w:hAnsi="Arial" w:cs="Arial"/>
          <w:sz w:val="24"/>
          <w:szCs w:val="24"/>
        </w:rPr>
        <w:t>troškova postupka</w:t>
      </w:r>
      <w:r w:rsidR="00B96F1C">
        <w:rPr>
          <w:rFonts w:ascii="Arial" w:hAnsi="Arial" w:cs="Arial"/>
          <w:sz w:val="24"/>
          <w:szCs w:val="24"/>
        </w:rPr>
        <w:t xml:space="preserve"> ne bude uplaćen </w:t>
      </w:r>
      <w:r w:rsidR="006B19D6" w:rsidRPr="00B45240">
        <w:rPr>
          <w:rFonts w:ascii="Arial" w:hAnsi="Arial" w:cs="Arial"/>
          <w:sz w:val="24"/>
          <w:szCs w:val="24"/>
        </w:rPr>
        <w:t>sud će odbaciti prijedlog</w:t>
      </w:r>
      <w:r w:rsidR="006B19D6" w:rsidRPr="00B45240">
        <w:rPr>
          <w:rStyle w:val="Referencafusnote"/>
          <w:rFonts w:ascii="Arial" w:hAnsi="Arial" w:cs="Arial"/>
          <w:sz w:val="24"/>
          <w:szCs w:val="24"/>
        </w:rPr>
        <w:footnoteReference w:id="101"/>
      </w:r>
      <w:r w:rsidR="006B19D6" w:rsidRPr="00B45240">
        <w:rPr>
          <w:rFonts w:ascii="Arial" w:hAnsi="Arial" w:cs="Arial"/>
          <w:sz w:val="24"/>
          <w:szCs w:val="24"/>
        </w:rPr>
        <w:t>. Međutim, ako su ostvarene pretpostavke za odbačaj prijedloga</w:t>
      </w:r>
      <w:r w:rsidR="001D064E">
        <w:rPr>
          <w:rFonts w:ascii="Arial" w:hAnsi="Arial" w:cs="Arial"/>
          <w:sz w:val="24"/>
          <w:szCs w:val="24"/>
        </w:rPr>
        <w:t>,</w:t>
      </w:r>
      <w:r w:rsidR="006B19D6" w:rsidRPr="00B45240">
        <w:rPr>
          <w:rFonts w:ascii="Arial" w:hAnsi="Arial" w:cs="Arial"/>
          <w:sz w:val="24"/>
          <w:szCs w:val="24"/>
        </w:rPr>
        <w:t xml:space="preserve"> jer nije plaćen predujam troškova</w:t>
      </w:r>
      <w:r w:rsidR="001D064E">
        <w:rPr>
          <w:rFonts w:ascii="Arial" w:hAnsi="Arial" w:cs="Arial"/>
          <w:sz w:val="24"/>
          <w:szCs w:val="24"/>
        </w:rPr>
        <w:t>,</w:t>
      </w:r>
      <w:r w:rsidR="006B19D6" w:rsidRPr="00B45240">
        <w:rPr>
          <w:rFonts w:ascii="Arial" w:hAnsi="Arial" w:cs="Arial"/>
          <w:sz w:val="24"/>
          <w:szCs w:val="24"/>
        </w:rPr>
        <w:t xml:space="preserve"> </w:t>
      </w:r>
      <w:r w:rsidR="00CD5359" w:rsidRPr="00B45240">
        <w:rPr>
          <w:rFonts w:ascii="Arial" w:hAnsi="Arial" w:cs="Arial"/>
          <w:sz w:val="24"/>
          <w:szCs w:val="24"/>
        </w:rPr>
        <w:t xml:space="preserve">nema zapreka da sud </w:t>
      </w:r>
      <w:r w:rsidR="006B19D6" w:rsidRPr="00B45240">
        <w:rPr>
          <w:rFonts w:ascii="Arial" w:hAnsi="Arial" w:cs="Arial"/>
          <w:sz w:val="24"/>
          <w:szCs w:val="24"/>
        </w:rPr>
        <w:t>nastavi postupak kao da je podnesen prijedlog za otvaranje stečajnog postupka</w:t>
      </w:r>
      <w:r w:rsidR="008B1BC5" w:rsidRPr="00B45240">
        <w:rPr>
          <w:rFonts w:ascii="Arial" w:hAnsi="Arial" w:cs="Arial"/>
          <w:sz w:val="24"/>
          <w:szCs w:val="24"/>
        </w:rPr>
        <w:t>.</w:t>
      </w:r>
    </w:p>
    <w:p w:rsidR="00450B63" w:rsidRDefault="008B1BC5" w:rsidP="000400B3">
      <w:pPr>
        <w:autoSpaceDE w:val="0"/>
        <w:autoSpaceDN w:val="0"/>
        <w:adjustRightInd w:val="0"/>
        <w:spacing w:before="150" w:after="150" w:line="240" w:lineRule="auto"/>
        <w:ind w:firstLine="705"/>
        <w:jc w:val="both"/>
        <w:rPr>
          <w:rFonts w:ascii="Arial" w:hAnsi="Arial" w:cs="Arial"/>
          <w:sz w:val="24"/>
          <w:szCs w:val="24"/>
        </w:rPr>
      </w:pPr>
      <w:r w:rsidRPr="00B45240">
        <w:rPr>
          <w:rFonts w:ascii="Arial" w:hAnsi="Arial" w:cs="Arial"/>
          <w:sz w:val="24"/>
          <w:szCs w:val="24"/>
        </w:rPr>
        <w:t>A</w:t>
      </w:r>
      <w:r w:rsidR="00450B63" w:rsidRPr="00B45240">
        <w:rPr>
          <w:rFonts w:ascii="Arial" w:hAnsi="Arial" w:cs="Arial"/>
          <w:sz w:val="24"/>
          <w:szCs w:val="24"/>
        </w:rPr>
        <w:t>ko sud donese rješenje o nastavku postupka kao da je podnesen prijedlog za otvaranje stečajnog postupka</w:t>
      </w:r>
      <w:r w:rsidRPr="00B45240">
        <w:rPr>
          <w:rFonts w:ascii="Arial" w:hAnsi="Arial" w:cs="Arial"/>
          <w:sz w:val="24"/>
          <w:szCs w:val="24"/>
        </w:rPr>
        <w:t xml:space="preserve"> treba li sud pozvati predlagatelja na plaćanje predujma troškova stečajnog postupka</w:t>
      </w:r>
      <w:r w:rsidR="00B96F1C">
        <w:rPr>
          <w:rFonts w:ascii="Arial" w:hAnsi="Arial" w:cs="Arial"/>
          <w:sz w:val="24"/>
          <w:szCs w:val="24"/>
        </w:rPr>
        <w:t xml:space="preserve"> ?</w:t>
      </w:r>
      <w:r w:rsidR="00450B63" w:rsidRPr="00B45240">
        <w:rPr>
          <w:rFonts w:ascii="Arial" w:hAnsi="Arial" w:cs="Arial"/>
          <w:sz w:val="24"/>
          <w:szCs w:val="24"/>
        </w:rPr>
        <w:t xml:space="preserve"> </w:t>
      </w:r>
      <w:r w:rsidR="00B41D90" w:rsidRPr="00B45240">
        <w:rPr>
          <w:rFonts w:ascii="Arial" w:hAnsi="Arial" w:cs="Arial"/>
          <w:sz w:val="24"/>
          <w:szCs w:val="24"/>
        </w:rPr>
        <w:t>Ako</w:t>
      </w:r>
      <w:r w:rsidR="00A46BD4" w:rsidRPr="00B45240">
        <w:rPr>
          <w:rFonts w:ascii="Arial" w:hAnsi="Arial" w:cs="Arial"/>
          <w:sz w:val="24"/>
          <w:szCs w:val="24"/>
        </w:rPr>
        <w:t xml:space="preserve"> se postupak nastavlja kao da je podnesen prijedlog za otvaranje stečajnog postupka </w:t>
      </w:r>
      <w:r w:rsidR="00B41D90" w:rsidRPr="00B45240">
        <w:rPr>
          <w:rFonts w:ascii="Arial" w:hAnsi="Arial" w:cs="Arial"/>
          <w:sz w:val="24"/>
          <w:szCs w:val="24"/>
        </w:rPr>
        <w:t xml:space="preserve">sud bi trebao pozvati </w:t>
      </w:r>
      <w:r w:rsidR="001A2AEB" w:rsidRPr="00B45240">
        <w:rPr>
          <w:rFonts w:ascii="Arial" w:hAnsi="Arial" w:cs="Arial"/>
          <w:sz w:val="24"/>
          <w:szCs w:val="24"/>
        </w:rPr>
        <w:t xml:space="preserve">predlagatelja </w:t>
      </w:r>
      <w:r w:rsidR="00B41D90" w:rsidRPr="00B45240">
        <w:rPr>
          <w:rFonts w:ascii="Arial" w:hAnsi="Arial" w:cs="Arial"/>
          <w:sz w:val="24"/>
          <w:szCs w:val="24"/>
        </w:rPr>
        <w:t xml:space="preserve">na plaćanje predujma </w:t>
      </w:r>
      <w:r w:rsidR="005418DE" w:rsidRPr="00B45240">
        <w:rPr>
          <w:rFonts w:ascii="Arial" w:hAnsi="Arial" w:cs="Arial"/>
          <w:sz w:val="24"/>
          <w:szCs w:val="24"/>
        </w:rPr>
        <w:t xml:space="preserve">troškova stečajnog postupka </w:t>
      </w:r>
      <w:r w:rsidR="00424533" w:rsidRPr="00B45240">
        <w:rPr>
          <w:rFonts w:ascii="Arial" w:hAnsi="Arial" w:cs="Arial"/>
          <w:sz w:val="24"/>
          <w:szCs w:val="24"/>
        </w:rPr>
        <w:t xml:space="preserve">u iznosu od 1.000,00 kn u Fond za namirenje troškova stečajnog postupka te dodatni iznos </w:t>
      </w:r>
      <w:r w:rsidR="001D064E">
        <w:rPr>
          <w:rFonts w:ascii="Arial" w:hAnsi="Arial" w:cs="Arial"/>
          <w:sz w:val="24"/>
          <w:szCs w:val="24"/>
        </w:rPr>
        <w:t xml:space="preserve">predujma troškova postupka </w:t>
      </w:r>
      <w:r w:rsidR="005418DE" w:rsidRPr="00B45240">
        <w:rPr>
          <w:rFonts w:ascii="Arial" w:hAnsi="Arial" w:cs="Arial"/>
          <w:sz w:val="24"/>
          <w:szCs w:val="24"/>
        </w:rPr>
        <w:t xml:space="preserve">koji </w:t>
      </w:r>
      <w:r w:rsidRPr="00B45240">
        <w:rPr>
          <w:rFonts w:ascii="Arial" w:hAnsi="Arial" w:cs="Arial"/>
          <w:sz w:val="24"/>
          <w:szCs w:val="24"/>
        </w:rPr>
        <w:t xml:space="preserve">ne </w:t>
      </w:r>
      <w:r w:rsidR="005418DE" w:rsidRPr="00B45240">
        <w:rPr>
          <w:rFonts w:ascii="Arial" w:hAnsi="Arial" w:cs="Arial"/>
          <w:sz w:val="24"/>
          <w:szCs w:val="24"/>
        </w:rPr>
        <w:t>mo</w:t>
      </w:r>
      <w:r w:rsidR="00424533" w:rsidRPr="00B45240">
        <w:rPr>
          <w:rFonts w:ascii="Arial" w:hAnsi="Arial" w:cs="Arial"/>
          <w:sz w:val="24"/>
          <w:szCs w:val="24"/>
        </w:rPr>
        <w:t xml:space="preserve">že biti viši od </w:t>
      </w:r>
      <w:r w:rsidR="005418DE" w:rsidRPr="00B45240">
        <w:rPr>
          <w:rFonts w:ascii="Arial" w:hAnsi="Arial" w:cs="Arial"/>
          <w:sz w:val="24"/>
          <w:szCs w:val="24"/>
        </w:rPr>
        <w:t xml:space="preserve">20.000,00 kn. </w:t>
      </w:r>
      <w:r w:rsidRPr="00B45240">
        <w:rPr>
          <w:rFonts w:ascii="Arial" w:hAnsi="Arial" w:cs="Arial"/>
          <w:sz w:val="24"/>
          <w:szCs w:val="24"/>
        </w:rPr>
        <w:t xml:space="preserve">Ako je predlagatelj </w:t>
      </w:r>
      <w:r w:rsidR="00F4724B">
        <w:rPr>
          <w:rFonts w:ascii="Arial" w:hAnsi="Arial" w:cs="Arial"/>
          <w:sz w:val="24"/>
          <w:szCs w:val="24"/>
        </w:rPr>
        <w:t xml:space="preserve">prethodno </w:t>
      </w:r>
      <w:r w:rsidRPr="00B45240">
        <w:rPr>
          <w:rFonts w:ascii="Arial" w:hAnsi="Arial" w:cs="Arial"/>
          <w:sz w:val="24"/>
          <w:szCs w:val="24"/>
        </w:rPr>
        <w:t xml:space="preserve">uplatio </w:t>
      </w:r>
      <w:r w:rsidR="00F4724B">
        <w:rPr>
          <w:rFonts w:ascii="Arial" w:hAnsi="Arial" w:cs="Arial"/>
          <w:sz w:val="24"/>
          <w:szCs w:val="24"/>
        </w:rPr>
        <w:t xml:space="preserve">i </w:t>
      </w:r>
      <w:r w:rsidRPr="00B45240">
        <w:rPr>
          <w:rFonts w:ascii="Arial" w:hAnsi="Arial" w:cs="Arial"/>
          <w:sz w:val="24"/>
          <w:szCs w:val="24"/>
        </w:rPr>
        <w:t xml:space="preserve">predujam troškova </w:t>
      </w:r>
      <w:proofErr w:type="spellStart"/>
      <w:r w:rsidRPr="00B45240">
        <w:rPr>
          <w:rFonts w:ascii="Arial" w:hAnsi="Arial" w:cs="Arial"/>
          <w:sz w:val="24"/>
          <w:szCs w:val="24"/>
        </w:rPr>
        <w:t>predstečajnog</w:t>
      </w:r>
      <w:proofErr w:type="spellEnd"/>
      <w:r w:rsidRPr="00B45240">
        <w:rPr>
          <w:rFonts w:ascii="Arial" w:hAnsi="Arial" w:cs="Arial"/>
          <w:sz w:val="24"/>
          <w:szCs w:val="24"/>
        </w:rPr>
        <w:t xml:space="preserve"> postupka plaćeni iznos treba uračunati u predujam troškova stečajnog postupka. </w:t>
      </w:r>
      <w:r w:rsidR="005418DE" w:rsidRPr="00B45240">
        <w:rPr>
          <w:rFonts w:ascii="Arial" w:hAnsi="Arial" w:cs="Arial"/>
          <w:sz w:val="24"/>
          <w:szCs w:val="24"/>
        </w:rPr>
        <w:t xml:space="preserve">Međutim, ako predlagatelj ne uplati predujam </w:t>
      </w:r>
      <w:r w:rsidR="00F4724B">
        <w:rPr>
          <w:rFonts w:ascii="Arial" w:hAnsi="Arial" w:cs="Arial"/>
          <w:sz w:val="24"/>
          <w:szCs w:val="24"/>
        </w:rPr>
        <w:t>troškova stečajnog</w:t>
      </w:r>
      <w:r w:rsidR="00FF620A" w:rsidRPr="00B45240">
        <w:rPr>
          <w:rFonts w:ascii="Arial" w:hAnsi="Arial" w:cs="Arial"/>
          <w:sz w:val="24"/>
          <w:szCs w:val="24"/>
        </w:rPr>
        <w:t xml:space="preserve"> postupka</w:t>
      </w:r>
      <w:r w:rsidR="00A266EA">
        <w:rPr>
          <w:rFonts w:ascii="Arial" w:hAnsi="Arial" w:cs="Arial"/>
          <w:sz w:val="24"/>
          <w:szCs w:val="24"/>
        </w:rPr>
        <w:t>,</w:t>
      </w:r>
      <w:r w:rsidRPr="00B45240">
        <w:rPr>
          <w:rFonts w:ascii="Arial" w:hAnsi="Arial" w:cs="Arial"/>
          <w:sz w:val="24"/>
          <w:szCs w:val="24"/>
        </w:rPr>
        <w:t xml:space="preserve"> nije jasno treba li sud </w:t>
      </w:r>
      <w:r w:rsidR="00B41D90" w:rsidRPr="00B45240">
        <w:rPr>
          <w:rFonts w:ascii="Arial" w:hAnsi="Arial" w:cs="Arial"/>
          <w:sz w:val="24"/>
          <w:szCs w:val="24"/>
        </w:rPr>
        <w:t xml:space="preserve">odbaciti prijedlog </w:t>
      </w:r>
      <w:r w:rsidR="00CD5359" w:rsidRPr="00B45240">
        <w:rPr>
          <w:rFonts w:ascii="Arial" w:hAnsi="Arial" w:cs="Arial"/>
          <w:sz w:val="24"/>
          <w:szCs w:val="24"/>
        </w:rPr>
        <w:t xml:space="preserve">za otvaranje stečajnog postupka </w:t>
      </w:r>
      <w:r w:rsidR="00B41D90" w:rsidRPr="00B45240">
        <w:rPr>
          <w:rFonts w:ascii="Arial" w:hAnsi="Arial" w:cs="Arial"/>
          <w:sz w:val="24"/>
          <w:szCs w:val="24"/>
        </w:rPr>
        <w:t>kao nedopušten</w:t>
      </w:r>
      <w:r w:rsidR="00B41D90" w:rsidRPr="00B45240">
        <w:rPr>
          <w:rStyle w:val="Referencafusnote"/>
          <w:rFonts w:ascii="Arial" w:hAnsi="Arial" w:cs="Arial"/>
          <w:sz w:val="24"/>
          <w:szCs w:val="24"/>
        </w:rPr>
        <w:footnoteReference w:id="102"/>
      </w:r>
      <w:r w:rsidR="00CD5359" w:rsidRPr="00B45240">
        <w:rPr>
          <w:rFonts w:ascii="Arial" w:hAnsi="Arial" w:cs="Arial"/>
          <w:sz w:val="24"/>
          <w:szCs w:val="24"/>
        </w:rPr>
        <w:t xml:space="preserve"> ili će primijeniti pravila o prisilnoj naplati novčane kazne u parničnom postupku</w:t>
      </w:r>
      <w:r w:rsidR="00CD5359" w:rsidRPr="00B45240">
        <w:rPr>
          <w:rStyle w:val="Referencafusnote"/>
          <w:rFonts w:ascii="Arial" w:hAnsi="Arial" w:cs="Arial"/>
          <w:sz w:val="24"/>
          <w:szCs w:val="24"/>
        </w:rPr>
        <w:footnoteReference w:id="103"/>
      </w:r>
      <w:r w:rsidR="00CD5359" w:rsidRPr="00B45240">
        <w:rPr>
          <w:rFonts w:ascii="Arial" w:hAnsi="Arial" w:cs="Arial"/>
          <w:sz w:val="24"/>
          <w:szCs w:val="24"/>
        </w:rPr>
        <w:t>.</w:t>
      </w:r>
      <w:r w:rsidR="00A266EA">
        <w:rPr>
          <w:rFonts w:ascii="Arial" w:hAnsi="Arial" w:cs="Arial"/>
          <w:sz w:val="24"/>
          <w:szCs w:val="24"/>
        </w:rPr>
        <w:t xml:space="preserve"> Čini se da je pravilnije odbaciti prijedlog za otvaranje stečajnog postupka.</w:t>
      </w:r>
    </w:p>
    <w:p w:rsidR="00B85B34" w:rsidRPr="00B45240" w:rsidRDefault="00B85B34" w:rsidP="000400B3">
      <w:pPr>
        <w:autoSpaceDE w:val="0"/>
        <w:autoSpaceDN w:val="0"/>
        <w:adjustRightInd w:val="0"/>
        <w:spacing w:before="150" w:after="150" w:line="240" w:lineRule="auto"/>
        <w:ind w:firstLine="705"/>
        <w:jc w:val="both"/>
        <w:rPr>
          <w:rFonts w:ascii="Arial" w:hAnsi="Arial" w:cs="Arial"/>
          <w:sz w:val="24"/>
          <w:szCs w:val="24"/>
        </w:rPr>
      </w:pPr>
    </w:p>
    <w:p w:rsidR="00F93C96" w:rsidRPr="00951AD8" w:rsidRDefault="00951AD8" w:rsidP="00951AD8">
      <w:pPr>
        <w:pStyle w:val="Naslov3"/>
      </w:pPr>
      <w:bookmarkStart w:id="17" w:name="_Toc507067615"/>
      <w:r>
        <w:lastRenderedPageBreak/>
        <w:t xml:space="preserve">2.1.3. </w:t>
      </w:r>
      <w:r w:rsidR="00F93C96" w:rsidRPr="00951AD8">
        <w:t xml:space="preserve">Rješenje o otvaranju </w:t>
      </w:r>
      <w:proofErr w:type="spellStart"/>
      <w:r w:rsidR="00F93C96" w:rsidRPr="00951AD8">
        <w:t>predstečajnog</w:t>
      </w:r>
      <w:proofErr w:type="spellEnd"/>
      <w:r w:rsidR="00F93C96" w:rsidRPr="00951AD8">
        <w:t xml:space="preserve"> postupka</w:t>
      </w:r>
      <w:bookmarkEnd w:id="17"/>
    </w:p>
    <w:p w:rsidR="008A3ADA" w:rsidRPr="00B45240" w:rsidRDefault="003B3853" w:rsidP="001941F7">
      <w:pPr>
        <w:autoSpaceDE w:val="0"/>
        <w:autoSpaceDN w:val="0"/>
        <w:adjustRightInd w:val="0"/>
        <w:spacing w:before="150" w:after="150" w:line="240" w:lineRule="auto"/>
        <w:ind w:firstLine="705"/>
        <w:jc w:val="both"/>
        <w:rPr>
          <w:rFonts w:ascii="Arial" w:hAnsi="Arial" w:cs="Arial"/>
          <w:sz w:val="24"/>
          <w:szCs w:val="24"/>
        </w:rPr>
      </w:pPr>
      <w:r w:rsidRPr="00B45240">
        <w:rPr>
          <w:rFonts w:ascii="Arial" w:hAnsi="Arial" w:cs="Arial"/>
          <w:sz w:val="24"/>
          <w:szCs w:val="24"/>
        </w:rPr>
        <w:t>Nakon št</w:t>
      </w:r>
      <w:r w:rsidR="002E0095" w:rsidRPr="00B45240">
        <w:rPr>
          <w:rFonts w:ascii="Arial" w:hAnsi="Arial" w:cs="Arial"/>
          <w:sz w:val="24"/>
          <w:szCs w:val="24"/>
        </w:rPr>
        <w:t>o</w:t>
      </w:r>
      <w:r w:rsidR="001941F7" w:rsidRPr="00B45240">
        <w:rPr>
          <w:rFonts w:ascii="Arial" w:hAnsi="Arial" w:cs="Arial"/>
          <w:sz w:val="24"/>
          <w:szCs w:val="24"/>
          <w:lang w:val="x-none"/>
        </w:rPr>
        <w:t xml:space="preserve"> sud utvrdi da </w:t>
      </w:r>
      <w:r w:rsidR="001941F7" w:rsidRPr="00B45240">
        <w:rPr>
          <w:rFonts w:ascii="Arial" w:hAnsi="Arial" w:cs="Arial"/>
          <w:sz w:val="24"/>
          <w:szCs w:val="24"/>
        </w:rPr>
        <w:t xml:space="preserve">je prijedlog </w:t>
      </w:r>
      <w:r w:rsidR="00F4724B">
        <w:rPr>
          <w:rFonts w:ascii="Arial" w:hAnsi="Arial" w:cs="Arial"/>
          <w:sz w:val="24"/>
          <w:szCs w:val="24"/>
          <w:lang w:val="x-none"/>
        </w:rPr>
        <w:t xml:space="preserve">za otvaranje </w:t>
      </w:r>
      <w:proofErr w:type="spellStart"/>
      <w:r w:rsidR="00F4724B">
        <w:rPr>
          <w:rFonts w:ascii="Arial" w:hAnsi="Arial" w:cs="Arial"/>
          <w:sz w:val="24"/>
          <w:szCs w:val="24"/>
          <w:lang w:val="x-none"/>
        </w:rPr>
        <w:t>predstečajnog</w:t>
      </w:r>
      <w:proofErr w:type="spellEnd"/>
      <w:r w:rsidR="001941F7" w:rsidRPr="00B45240">
        <w:rPr>
          <w:rFonts w:ascii="Arial" w:hAnsi="Arial" w:cs="Arial"/>
          <w:sz w:val="24"/>
          <w:szCs w:val="24"/>
          <w:lang w:val="x-none"/>
        </w:rPr>
        <w:t xml:space="preserve"> postupka</w:t>
      </w:r>
      <w:r w:rsidR="001941F7" w:rsidRPr="00B45240">
        <w:rPr>
          <w:rFonts w:ascii="Arial" w:hAnsi="Arial" w:cs="Arial"/>
          <w:sz w:val="24"/>
          <w:szCs w:val="24"/>
        </w:rPr>
        <w:t xml:space="preserve"> dopušten, potpun, da je podnositelj prijedloga uplatio predujam za troškove </w:t>
      </w:r>
      <w:proofErr w:type="spellStart"/>
      <w:r w:rsidR="001941F7" w:rsidRPr="00B45240">
        <w:rPr>
          <w:rFonts w:ascii="Arial" w:hAnsi="Arial" w:cs="Arial"/>
          <w:sz w:val="24"/>
          <w:szCs w:val="24"/>
        </w:rPr>
        <w:t>predstečajnog</w:t>
      </w:r>
      <w:proofErr w:type="spellEnd"/>
      <w:r w:rsidR="001941F7" w:rsidRPr="00B45240">
        <w:rPr>
          <w:rFonts w:ascii="Arial" w:hAnsi="Arial" w:cs="Arial"/>
          <w:sz w:val="24"/>
          <w:szCs w:val="24"/>
        </w:rPr>
        <w:t xml:space="preserve"> postupka</w:t>
      </w:r>
      <w:r w:rsidR="00D0272A" w:rsidRPr="00B45240">
        <w:rPr>
          <w:rFonts w:ascii="Arial" w:hAnsi="Arial" w:cs="Arial"/>
          <w:sz w:val="24"/>
          <w:szCs w:val="24"/>
        </w:rPr>
        <w:t>,</w:t>
      </w:r>
      <w:r w:rsidR="001941F7" w:rsidRPr="00B45240">
        <w:rPr>
          <w:rFonts w:ascii="Arial" w:hAnsi="Arial" w:cs="Arial"/>
          <w:sz w:val="24"/>
          <w:szCs w:val="24"/>
        </w:rPr>
        <w:t xml:space="preserve"> da ne postoje drugi razlozi za odbačaj prijedloga niti razlozi za obustavu </w:t>
      </w:r>
      <w:proofErr w:type="spellStart"/>
      <w:r w:rsidR="001941F7" w:rsidRPr="00B45240">
        <w:rPr>
          <w:rFonts w:ascii="Arial" w:hAnsi="Arial" w:cs="Arial"/>
          <w:sz w:val="24"/>
          <w:szCs w:val="24"/>
        </w:rPr>
        <w:t>predstečajnog</w:t>
      </w:r>
      <w:proofErr w:type="spellEnd"/>
      <w:r w:rsidR="001941F7" w:rsidRPr="00B45240">
        <w:rPr>
          <w:rFonts w:ascii="Arial" w:hAnsi="Arial" w:cs="Arial"/>
          <w:sz w:val="24"/>
          <w:szCs w:val="24"/>
        </w:rPr>
        <w:t xml:space="preserve"> postupka</w:t>
      </w:r>
      <w:r w:rsidR="005C2295" w:rsidRPr="00B45240">
        <w:rPr>
          <w:rFonts w:ascii="Arial" w:hAnsi="Arial" w:cs="Arial"/>
          <w:sz w:val="24"/>
          <w:szCs w:val="24"/>
        </w:rPr>
        <w:t>,</w:t>
      </w:r>
      <w:r w:rsidR="00D0272A" w:rsidRPr="00B45240">
        <w:rPr>
          <w:rFonts w:ascii="Arial" w:hAnsi="Arial" w:cs="Arial"/>
          <w:sz w:val="24"/>
          <w:szCs w:val="24"/>
        </w:rPr>
        <w:t xml:space="preserve"> </w:t>
      </w:r>
      <w:r w:rsidR="00352420">
        <w:rPr>
          <w:rFonts w:ascii="Arial" w:hAnsi="Arial" w:cs="Arial"/>
          <w:sz w:val="24"/>
          <w:szCs w:val="24"/>
        </w:rPr>
        <w:t xml:space="preserve">te </w:t>
      </w:r>
      <w:r w:rsidR="00383BF2" w:rsidRPr="00B45240">
        <w:rPr>
          <w:rFonts w:ascii="Arial" w:hAnsi="Arial" w:cs="Arial"/>
          <w:sz w:val="24"/>
          <w:szCs w:val="24"/>
        </w:rPr>
        <w:t xml:space="preserve">da postoji </w:t>
      </w:r>
      <w:proofErr w:type="spellStart"/>
      <w:r w:rsidR="00383BF2" w:rsidRPr="00B45240">
        <w:rPr>
          <w:rFonts w:ascii="Arial" w:hAnsi="Arial" w:cs="Arial"/>
          <w:sz w:val="24"/>
          <w:szCs w:val="24"/>
        </w:rPr>
        <w:t>predstečajni</w:t>
      </w:r>
      <w:proofErr w:type="spellEnd"/>
      <w:r w:rsidR="00383BF2" w:rsidRPr="00B45240">
        <w:rPr>
          <w:rFonts w:ascii="Arial" w:hAnsi="Arial" w:cs="Arial"/>
          <w:sz w:val="24"/>
          <w:szCs w:val="24"/>
        </w:rPr>
        <w:t xml:space="preserve"> razlog (prijeteća nesposobnost za plaćanje) </w:t>
      </w:r>
      <w:r w:rsidR="001941F7" w:rsidRPr="00B45240">
        <w:rPr>
          <w:rFonts w:ascii="Arial" w:hAnsi="Arial" w:cs="Arial"/>
          <w:sz w:val="24"/>
          <w:szCs w:val="24"/>
          <w:lang w:val="x-none"/>
        </w:rPr>
        <w:t xml:space="preserve">donijet </w:t>
      </w:r>
      <w:r w:rsidR="005C2295" w:rsidRPr="00B45240">
        <w:rPr>
          <w:rFonts w:ascii="Arial" w:hAnsi="Arial" w:cs="Arial"/>
          <w:sz w:val="24"/>
          <w:szCs w:val="24"/>
        </w:rPr>
        <w:t xml:space="preserve">će </w:t>
      </w:r>
      <w:r w:rsidR="001941F7" w:rsidRPr="00B45240">
        <w:rPr>
          <w:rFonts w:ascii="Arial" w:hAnsi="Arial" w:cs="Arial"/>
          <w:sz w:val="24"/>
          <w:szCs w:val="24"/>
          <w:lang w:val="x-none"/>
        </w:rPr>
        <w:t xml:space="preserve">rješenje o otvaranju </w:t>
      </w:r>
      <w:proofErr w:type="spellStart"/>
      <w:r w:rsidR="001941F7" w:rsidRPr="00B45240">
        <w:rPr>
          <w:rFonts w:ascii="Arial" w:hAnsi="Arial" w:cs="Arial"/>
          <w:sz w:val="24"/>
          <w:szCs w:val="24"/>
          <w:lang w:val="x-none"/>
        </w:rPr>
        <w:t>p</w:t>
      </w:r>
      <w:r w:rsidR="00F4724B">
        <w:rPr>
          <w:rFonts w:ascii="Arial" w:hAnsi="Arial" w:cs="Arial"/>
          <w:sz w:val="24"/>
          <w:szCs w:val="24"/>
          <w:lang w:val="x-none"/>
        </w:rPr>
        <w:t>redstečajnog</w:t>
      </w:r>
      <w:proofErr w:type="spellEnd"/>
      <w:r w:rsidR="001941F7" w:rsidRPr="00B45240">
        <w:rPr>
          <w:rFonts w:ascii="Arial" w:hAnsi="Arial" w:cs="Arial"/>
          <w:sz w:val="24"/>
          <w:szCs w:val="24"/>
          <w:lang w:val="x-none"/>
        </w:rPr>
        <w:t xml:space="preserve"> postupka</w:t>
      </w:r>
      <w:r w:rsidR="001941F7" w:rsidRPr="00B45240">
        <w:rPr>
          <w:rStyle w:val="Referencafusnote"/>
          <w:rFonts w:ascii="Arial" w:hAnsi="Arial" w:cs="Arial"/>
          <w:sz w:val="24"/>
          <w:szCs w:val="24"/>
          <w:lang w:val="x-none"/>
        </w:rPr>
        <w:footnoteReference w:id="104"/>
      </w:r>
      <w:r w:rsidR="001941F7" w:rsidRPr="00B45240">
        <w:rPr>
          <w:rFonts w:ascii="Arial" w:hAnsi="Arial" w:cs="Arial"/>
          <w:sz w:val="24"/>
          <w:szCs w:val="24"/>
          <w:lang w:val="x-none"/>
        </w:rPr>
        <w:t xml:space="preserve">. </w:t>
      </w:r>
    </w:p>
    <w:p w:rsidR="008240A0" w:rsidRPr="00B45240" w:rsidRDefault="0031325B" w:rsidP="008240A0">
      <w:pPr>
        <w:autoSpaceDE w:val="0"/>
        <w:autoSpaceDN w:val="0"/>
        <w:adjustRightInd w:val="0"/>
        <w:spacing w:before="150" w:after="150" w:line="240" w:lineRule="auto"/>
        <w:ind w:firstLine="705"/>
        <w:jc w:val="both"/>
        <w:rPr>
          <w:rFonts w:ascii="Arial" w:hAnsi="Arial" w:cs="Arial"/>
          <w:sz w:val="24"/>
          <w:szCs w:val="24"/>
        </w:rPr>
      </w:pPr>
      <w:r>
        <w:rPr>
          <w:rFonts w:ascii="Arial" w:hAnsi="Arial" w:cs="Arial"/>
          <w:sz w:val="24"/>
          <w:szCs w:val="24"/>
        </w:rPr>
        <w:t>Smatra</w:t>
      </w:r>
      <w:r w:rsidR="008A3ADA" w:rsidRPr="00B45240">
        <w:rPr>
          <w:rFonts w:ascii="Arial" w:hAnsi="Arial" w:cs="Arial"/>
          <w:sz w:val="24"/>
          <w:szCs w:val="24"/>
        </w:rPr>
        <w:t xml:space="preserve"> se da prijeteća nesposobnost za plaćanje postoji ako u trenutku podnošenja prijedloga nisu nastale okolnosti zbog kojih se smatra da je dužnik trajnije nesposoban za plaćanje i ako</w:t>
      </w:r>
      <w:r w:rsidR="008240A0" w:rsidRPr="00B45240">
        <w:rPr>
          <w:rFonts w:ascii="Arial" w:hAnsi="Arial" w:cs="Arial"/>
          <w:sz w:val="24"/>
          <w:szCs w:val="24"/>
        </w:rPr>
        <w:t>:</w:t>
      </w:r>
    </w:p>
    <w:p w:rsidR="008240A0" w:rsidRPr="008240A0" w:rsidRDefault="008240A0" w:rsidP="002C4707">
      <w:pPr>
        <w:pStyle w:val="Bezproreda"/>
        <w:jc w:val="both"/>
      </w:pPr>
      <w:r w:rsidRPr="00B45240">
        <w:t xml:space="preserve">- </w:t>
      </w:r>
      <w:r w:rsidRPr="008240A0">
        <w:t>dužnik u Očevidniku redoslijeda osnova za plaćanje koji vodi F</w:t>
      </w:r>
      <w:r w:rsidR="00F4724B">
        <w:t>INA</w:t>
      </w:r>
      <w:r w:rsidRPr="008240A0">
        <w:t xml:space="preserve"> ima jednu ili više evidentiranih neizvršenih osnova za plaćanje koje je trebalo, na temelju valjanih osnova za plaćanje, bez daljnjeg pristanka dužnika naplatiti s bilo kojeg od njegovih računa</w:t>
      </w:r>
      <w:r w:rsidR="00F4724B">
        <w:t>,</w:t>
      </w:r>
      <w:r w:rsidRPr="008240A0">
        <w:t xml:space="preserve"> ili</w:t>
      </w:r>
    </w:p>
    <w:p w:rsidR="008240A0" w:rsidRPr="008240A0" w:rsidRDefault="008240A0" w:rsidP="002C4707">
      <w:pPr>
        <w:pStyle w:val="Bezproreda"/>
        <w:jc w:val="both"/>
      </w:pPr>
      <w:r w:rsidRPr="008240A0">
        <w:t>− duže od 30 dana kasni s isplatom plaće koja radniku pripada prema ugovoru o radu, pravilniku o radu, kolektivnom ugovoru ili posebnom propisu odnosno prema drugom aktu kojim se uređuju obveze poslodavca prema radniku</w:t>
      </w:r>
      <w:r w:rsidR="00F4724B">
        <w:t>,</w:t>
      </w:r>
      <w:r w:rsidRPr="008240A0">
        <w:t xml:space="preserve"> ili</w:t>
      </w:r>
    </w:p>
    <w:p w:rsidR="008240A0" w:rsidRPr="008240A0" w:rsidRDefault="008240A0" w:rsidP="002C4707">
      <w:pPr>
        <w:pStyle w:val="Bezproreda"/>
        <w:jc w:val="both"/>
      </w:pPr>
      <w:r w:rsidRPr="008240A0">
        <w:t>− u roku od 30 dana ne uplati doprinose i poreze prema plaći iz podstavka 2. ovoga stavka, računajući od dana kada je radniku bio dužan isplatiti plaću.</w:t>
      </w:r>
    </w:p>
    <w:p w:rsidR="008240A0" w:rsidRPr="00B45240" w:rsidRDefault="007F0CB6" w:rsidP="001941F7">
      <w:pPr>
        <w:autoSpaceDE w:val="0"/>
        <w:autoSpaceDN w:val="0"/>
        <w:adjustRightInd w:val="0"/>
        <w:spacing w:before="150" w:after="150" w:line="240" w:lineRule="auto"/>
        <w:ind w:firstLine="705"/>
        <w:jc w:val="both"/>
        <w:rPr>
          <w:rFonts w:ascii="Arial" w:hAnsi="Arial" w:cs="Arial"/>
          <w:sz w:val="24"/>
          <w:szCs w:val="24"/>
        </w:rPr>
      </w:pPr>
      <w:r w:rsidRPr="00B45240">
        <w:rPr>
          <w:rFonts w:ascii="Arial" w:hAnsi="Arial" w:cs="Arial"/>
          <w:sz w:val="24"/>
          <w:szCs w:val="24"/>
        </w:rPr>
        <w:t xml:space="preserve">Postojanje </w:t>
      </w:r>
      <w:r w:rsidRPr="008240A0">
        <w:rPr>
          <w:rFonts w:ascii="Arial" w:eastAsia="Times New Roman" w:hAnsi="Arial" w:cs="Arial"/>
          <w:sz w:val="24"/>
          <w:szCs w:val="24"/>
        </w:rPr>
        <w:t xml:space="preserve">evidentiranih neizvršenih osnova za plaćanje </w:t>
      </w:r>
      <w:r w:rsidRPr="00B45240">
        <w:rPr>
          <w:rFonts w:ascii="Arial" w:eastAsia="Times New Roman" w:hAnsi="Arial" w:cs="Arial"/>
          <w:sz w:val="24"/>
          <w:szCs w:val="24"/>
        </w:rPr>
        <w:t xml:space="preserve">u Očevidniku </w:t>
      </w:r>
      <w:r w:rsidR="00352420">
        <w:rPr>
          <w:rFonts w:ascii="Arial" w:eastAsia="Times New Roman" w:hAnsi="Arial" w:cs="Arial"/>
          <w:sz w:val="24"/>
          <w:szCs w:val="24"/>
        </w:rPr>
        <w:t xml:space="preserve">koji vodi FINA </w:t>
      </w:r>
      <w:r w:rsidRPr="00B45240">
        <w:rPr>
          <w:rFonts w:ascii="Arial" w:hAnsi="Arial" w:cs="Arial"/>
          <w:sz w:val="24"/>
          <w:szCs w:val="24"/>
        </w:rPr>
        <w:t xml:space="preserve">dokazuje se </w:t>
      </w:r>
      <w:proofErr w:type="spellStart"/>
      <w:r w:rsidRPr="00B45240">
        <w:rPr>
          <w:rFonts w:ascii="Arial" w:hAnsi="Arial" w:cs="Arial"/>
          <w:sz w:val="24"/>
          <w:szCs w:val="24"/>
        </w:rPr>
        <w:t>potvrdiom</w:t>
      </w:r>
      <w:proofErr w:type="spellEnd"/>
      <w:r w:rsidRPr="00B45240">
        <w:rPr>
          <w:rFonts w:ascii="Arial" w:hAnsi="Arial" w:cs="Arial"/>
          <w:sz w:val="24"/>
          <w:szCs w:val="24"/>
        </w:rPr>
        <w:t xml:space="preserve"> FINA-e. FINA je dužna</w:t>
      </w:r>
      <w:r w:rsidRPr="00B45240">
        <w:rPr>
          <w:rFonts w:ascii="Arial" w:hAnsi="Arial" w:cs="Arial"/>
        </w:rPr>
        <w:t xml:space="preserve"> </w:t>
      </w:r>
      <w:r w:rsidRPr="00B45240">
        <w:rPr>
          <w:rFonts w:ascii="Arial" w:hAnsi="Arial" w:cs="Arial"/>
          <w:sz w:val="24"/>
          <w:szCs w:val="24"/>
        </w:rPr>
        <w:t>na zahtjev dužnika ili vjerovnika bez odgode izda</w:t>
      </w:r>
      <w:r w:rsidR="00F4724B">
        <w:rPr>
          <w:rFonts w:ascii="Arial" w:hAnsi="Arial" w:cs="Arial"/>
          <w:sz w:val="24"/>
          <w:szCs w:val="24"/>
        </w:rPr>
        <w:t>ti takvu potvrdu. U protivnom FINA</w:t>
      </w:r>
      <w:r w:rsidRPr="00B45240">
        <w:rPr>
          <w:rFonts w:ascii="Arial" w:hAnsi="Arial" w:cs="Arial"/>
          <w:sz w:val="24"/>
          <w:szCs w:val="24"/>
        </w:rPr>
        <w:t xml:space="preserve"> odgovara za štetu koju bi podnositelj zahtjeva zbog toga mogao pretrpjeti. </w:t>
      </w:r>
    </w:p>
    <w:p w:rsidR="007F0CB6" w:rsidRPr="00B45240" w:rsidRDefault="007F0CB6" w:rsidP="001941F7">
      <w:pPr>
        <w:autoSpaceDE w:val="0"/>
        <w:autoSpaceDN w:val="0"/>
        <w:adjustRightInd w:val="0"/>
        <w:spacing w:before="150" w:after="150" w:line="240" w:lineRule="auto"/>
        <w:ind w:firstLine="705"/>
        <w:jc w:val="both"/>
        <w:rPr>
          <w:rFonts w:ascii="Arial" w:hAnsi="Arial" w:cs="Arial"/>
          <w:sz w:val="24"/>
          <w:szCs w:val="24"/>
        </w:rPr>
      </w:pPr>
      <w:r w:rsidRPr="00B45240">
        <w:rPr>
          <w:rFonts w:ascii="Arial" w:hAnsi="Arial" w:cs="Arial"/>
          <w:sz w:val="24"/>
          <w:szCs w:val="24"/>
        </w:rPr>
        <w:t>Kašnjenje duže od 30 dana s isplatom plaće radniku ili ne plaćanje doprinosa i poreza prema plaći</w:t>
      </w:r>
      <w:r w:rsidR="00352420">
        <w:rPr>
          <w:rFonts w:ascii="Arial" w:hAnsi="Arial" w:cs="Arial"/>
          <w:sz w:val="24"/>
          <w:szCs w:val="24"/>
        </w:rPr>
        <w:t>,</w:t>
      </w:r>
      <w:r w:rsidRPr="00B45240">
        <w:rPr>
          <w:rFonts w:ascii="Arial" w:hAnsi="Arial" w:cs="Arial"/>
          <w:sz w:val="24"/>
          <w:szCs w:val="24"/>
        </w:rPr>
        <w:t xml:space="preserve"> dokazuje se obračunom neisplaćene plaće koji je sastavljen u skladu s propisima. Uz obračun podnositelj prijedloga dužan je dostaviti potvrdu Ministarstva financija – Porezne uprave kojom se potvrđuje da je dostavljeni obračun o neisplati plaće sastavljen u skladu s propisima.</w:t>
      </w:r>
    </w:p>
    <w:p w:rsidR="000400B3" w:rsidRPr="00B45240" w:rsidRDefault="000400B3" w:rsidP="0031325B">
      <w:pPr>
        <w:pStyle w:val="Bezproreda"/>
        <w:ind w:firstLine="705"/>
        <w:jc w:val="both"/>
      </w:pPr>
      <w:r w:rsidRPr="00B45240">
        <w:t>Rje</w:t>
      </w:r>
      <w:r w:rsidR="00610086">
        <w:t xml:space="preserve">šenje o otvaranju </w:t>
      </w:r>
      <w:proofErr w:type="spellStart"/>
      <w:r w:rsidR="00610086">
        <w:t>predstečajnog</w:t>
      </w:r>
      <w:proofErr w:type="spellEnd"/>
      <w:r w:rsidRPr="00B45240">
        <w:t xml:space="preserve"> postupka osobito mora sadržavati</w:t>
      </w:r>
      <w:r w:rsidR="006554DF" w:rsidRPr="00B45240">
        <w:rPr>
          <w:rStyle w:val="Referencafusnote"/>
          <w:rFonts w:cs="Arial"/>
          <w:szCs w:val="24"/>
          <w:lang w:val="x-none"/>
        </w:rPr>
        <w:footnoteReference w:id="105"/>
      </w:r>
      <w:r w:rsidRPr="00B45240">
        <w:t>:</w:t>
      </w:r>
    </w:p>
    <w:p w:rsidR="0009508E" w:rsidRPr="00610086" w:rsidRDefault="002C4707" w:rsidP="002C4707">
      <w:pPr>
        <w:pStyle w:val="Bezproreda"/>
        <w:jc w:val="both"/>
      </w:pPr>
      <w:r>
        <w:t xml:space="preserve">- </w:t>
      </w:r>
      <w:r w:rsidR="000400B3" w:rsidRPr="00B45240">
        <w:t>podatke za identifikaciju dužnika i povjerenika ako je imenovan</w:t>
      </w:r>
      <w:r w:rsidR="00D0272A" w:rsidRPr="00B45240">
        <w:rPr>
          <w:rStyle w:val="Referencafusnote"/>
          <w:rFonts w:cs="Arial"/>
          <w:szCs w:val="24"/>
          <w:lang w:val="x-none"/>
        </w:rPr>
        <w:footnoteReference w:id="106"/>
      </w:r>
      <w:r w:rsidR="0009508E" w:rsidRPr="00B45240">
        <w:t xml:space="preserve"> - podaci za </w:t>
      </w:r>
      <w:r w:rsidR="00610086">
        <w:t>identifikaciju s</w:t>
      </w:r>
      <w:r w:rsidR="0009508E" w:rsidRPr="00B45240">
        <w:t>astoje se od tvrtke ili naziva, sjedišta i poslovne adrese i osobnoga identifikacijskog broja za pravnu osobu te imena i prezimena, sjedišta i poslovne adrese, adrese prebivališta i osobnoga identifikacijskog broja za fizičku osobu</w:t>
      </w:r>
      <w:r w:rsidR="00610086">
        <w:t>,</w:t>
      </w:r>
    </w:p>
    <w:p w:rsidR="009F12E7" w:rsidRPr="00B45240" w:rsidRDefault="00027EDE" w:rsidP="002C4707">
      <w:pPr>
        <w:pStyle w:val="Bezproreda"/>
        <w:jc w:val="both"/>
      </w:pPr>
      <w:r w:rsidRPr="00B45240">
        <w:t xml:space="preserve">- </w:t>
      </w:r>
      <w:r w:rsidR="000400B3" w:rsidRPr="00B45240">
        <w:t>poziv vjerovnicima da nadležnoj jedinici F</w:t>
      </w:r>
      <w:r w:rsidR="003C49AF" w:rsidRPr="00B45240">
        <w:t>INA-e</w:t>
      </w:r>
      <w:r w:rsidR="000400B3" w:rsidRPr="00B45240">
        <w:t xml:space="preserve">, u roku od </w:t>
      </w:r>
      <w:r w:rsidR="00352420">
        <w:t>21</w:t>
      </w:r>
      <w:r w:rsidR="000400B3" w:rsidRPr="00B45240">
        <w:t xml:space="preserve"> dana od dana </w:t>
      </w:r>
      <w:r w:rsidR="00352420">
        <w:t>dostave</w:t>
      </w:r>
      <w:r w:rsidR="000400B3" w:rsidRPr="00B45240">
        <w:t xml:space="preserve"> toga rješenja, prijave svoje tražbine i da u roku od </w:t>
      </w:r>
      <w:r w:rsidR="00352420">
        <w:t>15</w:t>
      </w:r>
      <w:r w:rsidR="000400B3" w:rsidRPr="00B45240">
        <w:t xml:space="preserve"> dana od dana objave </w:t>
      </w:r>
      <w:r w:rsidR="006554DF" w:rsidRPr="00B45240">
        <w:t>očitovanja</w:t>
      </w:r>
      <w:r w:rsidR="000400B3" w:rsidRPr="00B45240">
        <w:t xml:space="preserve"> o prijavljenim tražbinama dužnika i povjerenika ako je imenovan, ospore prijavljene tražbine koje smatraju nepostojećim, uz obveznu naznaku iznosa za koji se tražbina osporava i razloga osporavanja</w:t>
      </w:r>
      <w:r w:rsidR="009F12E7" w:rsidRPr="00B45240">
        <w:t>,</w:t>
      </w:r>
    </w:p>
    <w:p w:rsidR="000400B3" w:rsidRPr="00B45240" w:rsidRDefault="00027EDE" w:rsidP="002C4707">
      <w:pPr>
        <w:pStyle w:val="Bezproreda"/>
        <w:jc w:val="both"/>
      </w:pPr>
      <w:r w:rsidRPr="00B45240">
        <w:t xml:space="preserve">- </w:t>
      </w:r>
      <w:r w:rsidR="000400B3" w:rsidRPr="00B45240">
        <w:t>poziv dužniku i povjereniku</w:t>
      </w:r>
      <w:r w:rsidR="00610086">
        <w:t>,</w:t>
      </w:r>
      <w:r w:rsidR="000400B3" w:rsidRPr="00B45240">
        <w:t xml:space="preserve"> ako je imenovan</w:t>
      </w:r>
      <w:r w:rsidR="00610086">
        <w:t>,</w:t>
      </w:r>
      <w:r w:rsidR="000400B3" w:rsidRPr="00B45240">
        <w:t xml:space="preserve"> da nadležnoj jedinici F</w:t>
      </w:r>
      <w:r w:rsidR="003C49AF" w:rsidRPr="00B45240">
        <w:t>INA-e</w:t>
      </w:r>
      <w:r w:rsidR="000400B3" w:rsidRPr="00B45240">
        <w:t xml:space="preserve">, u roku od </w:t>
      </w:r>
      <w:r w:rsidR="00352420">
        <w:t>30</w:t>
      </w:r>
      <w:r w:rsidR="000400B3" w:rsidRPr="00B45240">
        <w:t xml:space="preserve"> dana od </w:t>
      </w:r>
      <w:r w:rsidR="00352420">
        <w:t xml:space="preserve">dostave </w:t>
      </w:r>
      <w:r w:rsidR="000400B3" w:rsidRPr="00B45240">
        <w:t>tablice prijavljenih tražbina, dostav</w:t>
      </w:r>
      <w:r w:rsidR="006554DF" w:rsidRPr="00B45240">
        <w:t>e</w:t>
      </w:r>
      <w:r w:rsidR="000400B3" w:rsidRPr="00B45240">
        <w:t xml:space="preserve"> pisano očitovanje o svakoj prijavljenoj tražbini priznaje li je ili osporava, uz obveznu naznaku iznosa za koji se tražbina osporava i razloga osporavanja</w:t>
      </w:r>
      <w:r w:rsidR="0052204B" w:rsidRPr="00B45240">
        <w:t>,</w:t>
      </w:r>
    </w:p>
    <w:p w:rsidR="000400B3" w:rsidRPr="00B45240" w:rsidRDefault="00027EDE" w:rsidP="002C4707">
      <w:pPr>
        <w:pStyle w:val="Bezproreda"/>
        <w:jc w:val="both"/>
      </w:pPr>
      <w:r w:rsidRPr="00B45240">
        <w:t xml:space="preserve">- </w:t>
      </w:r>
      <w:r w:rsidR="000400B3" w:rsidRPr="00B45240">
        <w:t>poziv dužniku da vjerovnicima i povjereniku ako je imenovan omogući uvid u isprave iz kojih proizlaze tražbine navedene u popisu imovine i obveza</w:t>
      </w:r>
      <w:r w:rsidR="00F06E22" w:rsidRPr="00B45240">
        <w:t>,</w:t>
      </w:r>
    </w:p>
    <w:p w:rsidR="00027EDE" w:rsidRPr="00B45240" w:rsidRDefault="00027EDE" w:rsidP="002C4707">
      <w:pPr>
        <w:pStyle w:val="Bezproreda"/>
        <w:jc w:val="both"/>
      </w:pPr>
      <w:r w:rsidRPr="00B45240">
        <w:t xml:space="preserve">- </w:t>
      </w:r>
      <w:r w:rsidR="000400B3" w:rsidRPr="00B45240">
        <w:t>poziv dužnikovim dužnicima da svoje dospjele obveze bez odgode ispunjavaju dužniku</w:t>
      </w:r>
      <w:r w:rsidR="00F06E22" w:rsidRPr="00B45240">
        <w:t>,</w:t>
      </w:r>
    </w:p>
    <w:p w:rsidR="000400B3" w:rsidRPr="00B45240" w:rsidRDefault="00027EDE" w:rsidP="002C4707">
      <w:pPr>
        <w:pStyle w:val="Bezproreda"/>
        <w:jc w:val="both"/>
      </w:pPr>
      <w:r w:rsidRPr="00B45240">
        <w:t xml:space="preserve">- </w:t>
      </w:r>
      <w:r w:rsidR="000400B3" w:rsidRPr="00B45240">
        <w:t>poziv na ročište radi ispitivanja tražbina</w:t>
      </w:r>
      <w:r w:rsidR="006554DF" w:rsidRPr="00B45240">
        <w:t>.</w:t>
      </w:r>
    </w:p>
    <w:p w:rsidR="000400B3" w:rsidRPr="00B45240" w:rsidRDefault="000400B3" w:rsidP="000400B3">
      <w:pPr>
        <w:autoSpaceDE w:val="0"/>
        <w:autoSpaceDN w:val="0"/>
        <w:adjustRightInd w:val="0"/>
        <w:spacing w:before="150" w:after="150" w:line="240" w:lineRule="auto"/>
        <w:ind w:firstLine="708"/>
        <w:jc w:val="both"/>
        <w:rPr>
          <w:rFonts w:ascii="Arial" w:hAnsi="Arial" w:cs="Arial"/>
          <w:sz w:val="24"/>
          <w:szCs w:val="24"/>
          <w:lang w:val="x-none"/>
        </w:rPr>
      </w:pPr>
      <w:r w:rsidRPr="00B45240">
        <w:rPr>
          <w:rFonts w:ascii="Arial" w:hAnsi="Arial" w:cs="Arial"/>
          <w:sz w:val="24"/>
          <w:szCs w:val="24"/>
          <w:lang w:val="x-none"/>
        </w:rPr>
        <w:t>Rješ</w:t>
      </w:r>
      <w:r w:rsidR="00610086">
        <w:rPr>
          <w:rFonts w:ascii="Arial" w:hAnsi="Arial" w:cs="Arial"/>
          <w:sz w:val="24"/>
          <w:szCs w:val="24"/>
          <w:lang w:val="x-none"/>
        </w:rPr>
        <w:t xml:space="preserve">enjem o otvaranju </w:t>
      </w:r>
      <w:proofErr w:type="spellStart"/>
      <w:r w:rsidR="00610086">
        <w:rPr>
          <w:rFonts w:ascii="Arial" w:hAnsi="Arial" w:cs="Arial"/>
          <w:sz w:val="24"/>
          <w:szCs w:val="24"/>
          <w:lang w:val="x-none"/>
        </w:rPr>
        <w:t>predstečajnog</w:t>
      </w:r>
      <w:proofErr w:type="spellEnd"/>
      <w:r w:rsidRPr="00B45240">
        <w:rPr>
          <w:rFonts w:ascii="Arial" w:hAnsi="Arial" w:cs="Arial"/>
          <w:sz w:val="24"/>
          <w:szCs w:val="24"/>
          <w:lang w:val="x-none"/>
        </w:rPr>
        <w:t xml:space="preserve"> postupka sud će odrediti da se otvaranje </w:t>
      </w:r>
      <w:proofErr w:type="spellStart"/>
      <w:r w:rsidRPr="00B45240">
        <w:rPr>
          <w:rFonts w:ascii="Arial" w:hAnsi="Arial" w:cs="Arial"/>
          <w:sz w:val="24"/>
          <w:szCs w:val="24"/>
          <w:lang w:val="x-none"/>
        </w:rPr>
        <w:t>predstečajnog</w:t>
      </w:r>
      <w:proofErr w:type="spellEnd"/>
      <w:r w:rsidRPr="00B45240">
        <w:rPr>
          <w:rFonts w:ascii="Arial" w:hAnsi="Arial" w:cs="Arial"/>
          <w:sz w:val="24"/>
          <w:szCs w:val="24"/>
          <w:lang w:val="x-none"/>
        </w:rPr>
        <w:t xml:space="preserve"> postupka upiše u registar u kojem je dužnik upisan i javne knjige, registre, upisnike i očevidnike u kojima je dužnik upisan kao nositelj nekoga prava.</w:t>
      </w:r>
    </w:p>
    <w:p w:rsidR="0031325B" w:rsidRDefault="003B3853" w:rsidP="00951AD8">
      <w:pPr>
        <w:autoSpaceDE w:val="0"/>
        <w:autoSpaceDN w:val="0"/>
        <w:adjustRightInd w:val="0"/>
        <w:spacing w:before="150" w:after="150" w:line="240" w:lineRule="auto"/>
        <w:ind w:firstLine="708"/>
        <w:jc w:val="both"/>
        <w:rPr>
          <w:rFonts w:ascii="Arial" w:hAnsi="Arial" w:cs="Arial"/>
          <w:sz w:val="24"/>
          <w:szCs w:val="24"/>
        </w:rPr>
      </w:pPr>
      <w:r w:rsidRPr="00B45240">
        <w:rPr>
          <w:rFonts w:ascii="Arial" w:hAnsi="Arial" w:cs="Arial"/>
          <w:sz w:val="24"/>
          <w:szCs w:val="24"/>
          <w:lang w:val="x-none"/>
        </w:rPr>
        <w:lastRenderedPageBreak/>
        <w:t xml:space="preserve">Rješenje o otvaranju </w:t>
      </w:r>
      <w:proofErr w:type="spellStart"/>
      <w:r w:rsidRPr="00B45240">
        <w:rPr>
          <w:rFonts w:ascii="Arial" w:hAnsi="Arial" w:cs="Arial"/>
          <w:sz w:val="24"/>
          <w:szCs w:val="24"/>
          <w:lang w:val="x-none"/>
        </w:rPr>
        <w:t>predstečajnog</w:t>
      </w:r>
      <w:proofErr w:type="spellEnd"/>
      <w:r w:rsidRPr="00B45240">
        <w:rPr>
          <w:rFonts w:ascii="Arial" w:hAnsi="Arial" w:cs="Arial"/>
          <w:sz w:val="24"/>
          <w:szCs w:val="24"/>
          <w:lang w:val="x-none"/>
        </w:rPr>
        <w:t xml:space="preserve"> postupka i </w:t>
      </w:r>
      <w:r w:rsidR="00352420">
        <w:rPr>
          <w:rFonts w:ascii="Arial" w:hAnsi="Arial" w:cs="Arial"/>
          <w:sz w:val="24"/>
          <w:szCs w:val="24"/>
        </w:rPr>
        <w:t xml:space="preserve">prijedlog </w:t>
      </w:r>
      <w:r w:rsidRPr="00B45240">
        <w:rPr>
          <w:rFonts w:ascii="Arial" w:hAnsi="Arial" w:cs="Arial"/>
          <w:sz w:val="24"/>
          <w:szCs w:val="24"/>
          <w:lang w:val="x-none"/>
        </w:rPr>
        <w:t>plan</w:t>
      </w:r>
      <w:r w:rsidR="002B7AF3">
        <w:rPr>
          <w:rFonts w:ascii="Arial" w:hAnsi="Arial" w:cs="Arial"/>
          <w:sz w:val="24"/>
          <w:szCs w:val="24"/>
        </w:rPr>
        <w:t>a</w:t>
      </w:r>
      <w:r w:rsidRPr="00B45240">
        <w:rPr>
          <w:rFonts w:ascii="Arial" w:hAnsi="Arial" w:cs="Arial"/>
          <w:sz w:val="24"/>
          <w:szCs w:val="24"/>
          <w:lang w:val="x-none"/>
        </w:rPr>
        <w:t xml:space="preserve"> restrukturiranja objavit će se na mrežnoj stranici e-Oglasna ploča sudova istoga dana kad je doneseno </w:t>
      </w:r>
      <w:r w:rsidRPr="00B45240">
        <w:rPr>
          <w:rFonts w:ascii="Arial" w:hAnsi="Arial" w:cs="Arial"/>
          <w:sz w:val="24"/>
          <w:szCs w:val="24"/>
        </w:rPr>
        <w:t xml:space="preserve">te će se </w:t>
      </w:r>
      <w:r w:rsidR="000400B3" w:rsidRPr="00B45240">
        <w:rPr>
          <w:rFonts w:ascii="Arial" w:hAnsi="Arial" w:cs="Arial"/>
          <w:sz w:val="24"/>
          <w:szCs w:val="24"/>
          <w:lang w:val="x-none"/>
        </w:rPr>
        <w:t>dostaviti F</w:t>
      </w:r>
      <w:r w:rsidR="003C49AF" w:rsidRPr="00B45240">
        <w:rPr>
          <w:rFonts w:ascii="Arial" w:hAnsi="Arial" w:cs="Arial"/>
          <w:sz w:val="24"/>
          <w:szCs w:val="24"/>
        </w:rPr>
        <w:t>INA-i</w:t>
      </w:r>
      <w:r w:rsidR="005F1E9E" w:rsidRPr="00B45240">
        <w:rPr>
          <w:rFonts w:ascii="Arial" w:hAnsi="Arial" w:cs="Arial"/>
          <w:sz w:val="24"/>
          <w:szCs w:val="24"/>
        </w:rPr>
        <w:t xml:space="preserve"> elektroni</w:t>
      </w:r>
      <w:r w:rsidR="00F279C6" w:rsidRPr="00B45240">
        <w:rPr>
          <w:rFonts w:ascii="Arial" w:hAnsi="Arial" w:cs="Arial"/>
          <w:sz w:val="24"/>
          <w:szCs w:val="24"/>
        </w:rPr>
        <w:t>čkim putem</w:t>
      </w:r>
      <w:r w:rsidR="00F279C6" w:rsidRPr="00B45240">
        <w:rPr>
          <w:rStyle w:val="Referencafusnote"/>
          <w:rFonts w:ascii="Arial" w:hAnsi="Arial" w:cs="Arial"/>
          <w:sz w:val="24"/>
          <w:szCs w:val="24"/>
        </w:rPr>
        <w:footnoteReference w:id="107"/>
      </w:r>
      <w:r w:rsidRPr="00B45240">
        <w:rPr>
          <w:rFonts w:ascii="Arial" w:hAnsi="Arial" w:cs="Arial"/>
          <w:sz w:val="24"/>
          <w:szCs w:val="24"/>
        </w:rPr>
        <w:t>.</w:t>
      </w:r>
    </w:p>
    <w:p w:rsidR="00951AD8" w:rsidRPr="0031325B" w:rsidRDefault="00951AD8" w:rsidP="00951AD8">
      <w:pPr>
        <w:autoSpaceDE w:val="0"/>
        <w:autoSpaceDN w:val="0"/>
        <w:adjustRightInd w:val="0"/>
        <w:spacing w:before="150" w:after="150" w:line="240" w:lineRule="auto"/>
        <w:ind w:firstLine="708"/>
        <w:jc w:val="both"/>
        <w:rPr>
          <w:rFonts w:ascii="Arial" w:hAnsi="Arial" w:cs="Arial"/>
          <w:sz w:val="24"/>
          <w:szCs w:val="24"/>
        </w:rPr>
      </w:pPr>
    </w:p>
    <w:p w:rsidR="000A5197" w:rsidRDefault="00951AD8" w:rsidP="00951AD8">
      <w:pPr>
        <w:pStyle w:val="Naslov3"/>
      </w:pPr>
      <w:bookmarkStart w:id="18" w:name="_Toc507067616"/>
      <w:r>
        <w:t xml:space="preserve">2.1.4. </w:t>
      </w:r>
      <w:r w:rsidR="000A5197" w:rsidRPr="00951AD8">
        <w:t>Određivanje ročišta radi ispitivanja tražbina</w:t>
      </w:r>
      <w:bookmarkEnd w:id="18"/>
    </w:p>
    <w:p w:rsidR="00951AD8" w:rsidRPr="00951AD8" w:rsidRDefault="00951AD8" w:rsidP="00951AD8"/>
    <w:p w:rsidR="000A5197" w:rsidRPr="00B45240" w:rsidRDefault="006554DF" w:rsidP="006554DF">
      <w:pPr>
        <w:autoSpaceDE w:val="0"/>
        <w:autoSpaceDN w:val="0"/>
        <w:adjustRightInd w:val="0"/>
        <w:spacing w:before="150" w:after="150" w:line="240" w:lineRule="auto"/>
        <w:ind w:firstLine="705"/>
        <w:jc w:val="both"/>
        <w:rPr>
          <w:rFonts w:ascii="Arial" w:hAnsi="Arial" w:cs="Arial"/>
          <w:sz w:val="24"/>
          <w:szCs w:val="24"/>
        </w:rPr>
      </w:pPr>
      <w:r w:rsidRPr="00B45240">
        <w:rPr>
          <w:rFonts w:ascii="Arial" w:hAnsi="Arial" w:cs="Arial"/>
          <w:sz w:val="24"/>
          <w:szCs w:val="24"/>
        </w:rPr>
        <w:t xml:space="preserve">Prilikom određivanja ročišta radi ispitivanja tražbina sud mora voditi računa da </w:t>
      </w:r>
      <w:r w:rsidR="002E0095" w:rsidRPr="00B45240">
        <w:rPr>
          <w:rFonts w:ascii="Arial" w:hAnsi="Arial" w:cs="Arial"/>
          <w:sz w:val="24"/>
          <w:szCs w:val="24"/>
        </w:rPr>
        <w:t xml:space="preserve">vrijeme </w:t>
      </w:r>
      <w:r w:rsidR="00D0272A" w:rsidRPr="00B45240">
        <w:rPr>
          <w:rFonts w:ascii="Arial" w:hAnsi="Arial" w:cs="Arial"/>
          <w:sz w:val="24"/>
          <w:szCs w:val="24"/>
          <w:lang w:val="x-none"/>
        </w:rPr>
        <w:t>između posljednjega dana roka za osporavanje tražbina i ročišta radi ispitivanja tražbina ne smije biti kraće od osam ni duže od 15 dana</w:t>
      </w:r>
      <w:r w:rsidR="002B7AF3">
        <w:rPr>
          <w:rStyle w:val="Referencafusnote"/>
          <w:rFonts w:ascii="Arial" w:hAnsi="Arial" w:cs="Arial"/>
          <w:sz w:val="24"/>
          <w:szCs w:val="24"/>
          <w:lang w:val="x-none"/>
        </w:rPr>
        <w:footnoteReference w:id="108"/>
      </w:r>
      <w:r w:rsidR="00D0272A" w:rsidRPr="00B45240">
        <w:rPr>
          <w:rFonts w:ascii="Arial" w:hAnsi="Arial" w:cs="Arial"/>
          <w:sz w:val="24"/>
          <w:szCs w:val="24"/>
          <w:lang w:val="x-none"/>
        </w:rPr>
        <w:t>.</w:t>
      </w:r>
      <w:r w:rsidR="00A8070B" w:rsidRPr="00B45240">
        <w:rPr>
          <w:rFonts w:ascii="Arial" w:hAnsi="Arial" w:cs="Arial"/>
          <w:sz w:val="24"/>
          <w:szCs w:val="24"/>
        </w:rPr>
        <w:t xml:space="preserve"> Ov</w:t>
      </w:r>
      <w:r w:rsidR="00F279C6" w:rsidRPr="00B45240">
        <w:rPr>
          <w:rFonts w:ascii="Arial" w:hAnsi="Arial" w:cs="Arial"/>
          <w:sz w:val="24"/>
          <w:szCs w:val="24"/>
        </w:rPr>
        <w:t>a</w:t>
      </w:r>
      <w:r w:rsidR="005D57CC" w:rsidRPr="00B45240">
        <w:rPr>
          <w:rFonts w:ascii="Arial" w:hAnsi="Arial" w:cs="Arial"/>
          <w:sz w:val="24"/>
          <w:szCs w:val="24"/>
        </w:rPr>
        <w:t>j rok prilično je složeno o</w:t>
      </w:r>
      <w:r w:rsidR="000A5197" w:rsidRPr="00B45240">
        <w:rPr>
          <w:rFonts w:ascii="Arial" w:hAnsi="Arial" w:cs="Arial"/>
          <w:sz w:val="24"/>
          <w:szCs w:val="24"/>
        </w:rPr>
        <w:t>drediti jer treba voditi računa:</w:t>
      </w:r>
    </w:p>
    <w:p w:rsidR="000A5197" w:rsidRPr="00B45240" w:rsidRDefault="000A5197" w:rsidP="002C4707">
      <w:pPr>
        <w:pStyle w:val="Bezproreda"/>
        <w:jc w:val="both"/>
      </w:pPr>
      <w:r w:rsidRPr="00B45240">
        <w:t xml:space="preserve">- </w:t>
      </w:r>
      <w:r w:rsidR="005D57CC" w:rsidRPr="00B45240">
        <w:t xml:space="preserve">da vjerovnici </w:t>
      </w:r>
      <w:r w:rsidR="00283C2A" w:rsidRPr="00B45240">
        <w:t>mogu prijaviti tražbine u roku</w:t>
      </w:r>
      <w:r w:rsidR="00F75A1E">
        <w:t xml:space="preserve"> od 21</w:t>
      </w:r>
      <w:r w:rsidR="005D57CC" w:rsidRPr="00B45240">
        <w:t xml:space="preserve"> dana </w:t>
      </w:r>
      <w:r w:rsidR="00283C2A" w:rsidRPr="00B45240">
        <w:t xml:space="preserve">od dana </w:t>
      </w:r>
      <w:r w:rsidR="00F75A1E">
        <w:t>dostave</w:t>
      </w:r>
      <w:r w:rsidR="00283C2A" w:rsidRPr="00B45240">
        <w:t xml:space="preserve"> rješenja o otv</w:t>
      </w:r>
      <w:r w:rsidRPr="00B45240">
        <w:t xml:space="preserve">aranju </w:t>
      </w:r>
      <w:proofErr w:type="spellStart"/>
      <w:r w:rsidRPr="00B45240">
        <w:t>predstečajnoga</w:t>
      </w:r>
      <w:proofErr w:type="spellEnd"/>
      <w:r w:rsidRPr="00B45240">
        <w:t xml:space="preserve"> postupka na mrežnoj stranici e-Oglasna ploča sudova,</w:t>
      </w:r>
    </w:p>
    <w:p w:rsidR="000A5197" w:rsidRPr="00B45240" w:rsidRDefault="000A5197" w:rsidP="002C4707">
      <w:pPr>
        <w:pStyle w:val="Bezproreda"/>
        <w:jc w:val="both"/>
      </w:pPr>
      <w:r w:rsidRPr="00B45240">
        <w:t>-</w:t>
      </w:r>
      <w:r w:rsidR="005D57CC" w:rsidRPr="00B45240">
        <w:t xml:space="preserve"> FINA je dužna u roku od tri dana od isteka roka za prijavu tražbina sastaviti </w:t>
      </w:r>
      <w:r w:rsidR="00263E00" w:rsidRPr="00B45240">
        <w:t>tablicu prijavljenih tražbina</w:t>
      </w:r>
      <w:r w:rsidR="00263E00">
        <w:t xml:space="preserve"> na propisanom obrascu </w:t>
      </w:r>
      <w:r w:rsidR="005D57CC" w:rsidRPr="00B45240">
        <w:t>i objavit</w:t>
      </w:r>
      <w:r w:rsidRPr="00B45240">
        <w:t>i</w:t>
      </w:r>
      <w:r w:rsidR="00263E00">
        <w:t xml:space="preserve"> ju zajedno s prijavama tražbina i ispravama,</w:t>
      </w:r>
      <w:r w:rsidRPr="00B45240">
        <w:t xml:space="preserve"> </w:t>
      </w:r>
    </w:p>
    <w:p w:rsidR="003051E9" w:rsidRPr="00B45240" w:rsidRDefault="000A5197" w:rsidP="002C4707">
      <w:pPr>
        <w:pStyle w:val="Bezproreda"/>
        <w:jc w:val="both"/>
      </w:pPr>
      <w:r w:rsidRPr="00B45240">
        <w:t>- d</w:t>
      </w:r>
      <w:r w:rsidR="005D57CC" w:rsidRPr="00B45240">
        <w:t xml:space="preserve">užnik i povjerenik mogu se pisano očitovati o svakoj prijavljenoj tražbini u roku od </w:t>
      </w:r>
      <w:r w:rsidR="00263E00">
        <w:t>30</w:t>
      </w:r>
      <w:r w:rsidR="005D57CC" w:rsidRPr="00B45240">
        <w:t xml:space="preserve"> dana od dana </w:t>
      </w:r>
      <w:r w:rsidR="00263E00">
        <w:t xml:space="preserve">dostave </w:t>
      </w:r>
      <w:r w:rsidR="005D57CC" w:rsidRPr="00B45240">
        <w:t xml:space="preserve">tablice prijavljenih tražbina </w:t>
      </w:r>
      <w:r w:rsidR="00D44C86" w:rsidRPr="00B45240">
        <w:t xml:space="preserve">na način </w:t>
      </w:r>
      <w:r w:rsidR="005D57CC" w:rsidRPr="00B45240">
        <w:t>da tražbinu priznaju ili j</w:t>
      </w:r>
      <w:r w:rsidR="00417AF0" w:rsidRPr="00B45240">
        <w:t>e</w:t>
      </w:r>
      <w:r w:rsidR="005D57CC" w:rsidRPr="00B45240">
        <w:t xml:space="preserve"> ospor</w:t>
      </w:r>
      <w:r w:rsidR="00417AF0" w:rsidRPr="00B45240">
        <w:t>e</w:t>
      </w:r>
      <w:r w:rsidR="005D57CC" w:rsidRPr="00B45240">
        <w:t>, uz obveznu naznaku iznosa za koji se tražbina osporava i razlog osporavanja</w:t>
      </w:r>
      <w:r w:rsidR="00A66DFF" w:rsidRPr="00B45240">
        <w:t xml:space="preserve">. </w:t>
      </w:r>
      <w:r w:rsidR="00C50756" w:rsidRPr="00B45240">
        <w:t xml:space="preserve">Dužnik i povjerenik </w:t>
      </w:r>
      <w:r w:rsidR="003B3853" w:rsidRPr="00B45240">
        <w:t xml:space="preserve">svoje </w:t>
      </w:r>
      <w:r w:rsidR="00C50756" w:rsidRPr="00B45240">
        <w:t xml:space="preserve">očitovanje dostavljaju FINA-i. </w:t>
      </w:r>
      <w:r w:rsidR="00864F4B" w:rsidRPr="00B45240">
        <w:t xml:space="preserve">Nakon isteka roka za očitovanje o prijavljenoj tražbini dužnik i povjerenik ne mogu više uspješno osporavati tražbine koje su priznali. </w:t>
      </w:r>
      <w:r w:rsidR="001D5B86" w:rsidRPr="00B45240">
        <w:t>Ako se nisu očitovali o prijavljenim tražbinama smatra se da su tražbine postojeće onako kako su navedene u tablici prijavljenih tražbina.</w:t>
      </w:r>
      <w:r w:rsidR="006F6DA5" w:rsidRPr="00B45240">
        <w:t xml:space="preserve"> </w:t>
      </w:r>
      <w:r w:rsidR="003051E9" w:rsidRPr="00B45240">
        <w:t>D</w:t>
      </w:r>
      <w:r w:rsidR="004E74F8" w:rsidRPr="00B45240">
        <w:t xml:space="preserve">užnikovo ili povjerenikovo priznanje tražbine u očitovanju na objavljenu tablicu prijavljenih tražbina koje je dostavljeno FINA-i opozivo </w:t>
      </w:r>
      <w:r w:rsidR="003051E9" w:rsidRPr="00B45240">
        <w:t xml:space="preserve">je </w:t>
      </w:r>
      <w:r w:rsidR="004E74F8" w:rsidRPr="00B45240">
        <w:t>do isteka roka za očitovanje</w:t>
      </w:r>
      <w:r w:rsidR="003051E9" w:rsidRPr="00B45240">
        <w:rPr>
          <w:rStyle w:val="Referencafusnote"/>
          <w:rFonts w:cs="Arial"/>
          <w:szCs w:val="24"/>
        </w:rPr>
        <w:footnoteReference w:id="109"/>
      </w:r>
      <w:r w:rsidR="003051E9" w:rsidRPr="00B45240">
        <w:t>.</w:t>
      </w:r>
      <w:r w:rsidR="004E74F8" w:rsidRPr="00B45240">
        <w:t xml:space="preserve"> </w:t>
      </w:r>
    </w:p>
    <w:p w:rsidR="000A5197" w:rsidRPr="00B45240" w:rsidRDefault="000A5197" w:rsidP="002C4707">
      <w:pPr>
        <w:pStyle w:val="Bezproreda"/>
        <w:jc w:val="both"/>
      </w:pPr>
      <w:r w:rsidRPr="00B45240">
        <w:t xml:space="preserve">- </w:t>
      </w:r>
      <w:r w:rsidR="002B7AF3">
        <w:t>FINA</w:t>
      </w:r>
      <w:r w:rsidR="00A66DFF" w:rsidRPr="00B45240">
        <w:t xml:space="preserve"> </w:t>
      </w:r>
      <w:r w:rsidR="007C2023" w:rsidRPr="00B45240">
        <w:t xml:space="preserve">u roku od </w:t>
      </w:r>
      <w:r w:rsidR="00F06E22" w:rsidRPr="00B45240">
        <w:t xml:space="preserve">tri </w:t>
      </w:r>
      <w:r w:rsidR="007C2023" w:rsidRPr="00B45240">
        <w:t xml:space="preserve">dana od primitka </w:t>
      </w:r>
      <w:r w:rsidR="001D5B86" w:rsidRPr="00B45240">
        <w:t xml:space="preserve">očitovanja </w:t>
      </w:r>
      <w:r w:rsidR="002E0095" w:rsidRPr="00B45240">
        <w:t xml:space="preserve">isto </w:t>
      </w:r>
      <w:r w:rsidR="007C2023" w:rsidRPr="00B45240">
        <w:t xml:space="preserve">objavljuje </w:t>
      </w:r>
      <w:r w:rsidR="005D57CC" w:rsidRPr="00B45240">
        <w:t xml:space="preserve">na mrežnoj stranici e-Oglasna ploča sudova </w:t>
      </w:r>
      <w:r w:rsidR="00A66DFF" w:rsidRPr="00B45240">
        <w:t>ili objavljuje da očitovanj</w:t>
      </w:r>
      <w:r w:rsidR="00D44C86" w:rsidRPr="00B45240">
        <w:t>e</w:t>
      </w:r>
      <w:r w:rsidR="00A66DFF" w:rsidRPr="00B45240">
        <w:t xml:space="preserve"> nije dostavljeno</w:t>
      </w:r>
      <w:r w:rsidRPr="00B45240">
        <w:t>,</w:t>
      </w:r>
    </w:p>
    <w:p w:rsidR="000A5197" w:rsidRPr="00B45240" w:rsidRDefault="000A5197" w:rsidP="002C4707">
      <w:pPr>
        <w:pStyle w:val="Bezproreda"/>
        <w:jc w:val="both"/>
      </w:pPr>
      <w:r w:rsidRPr="00B45240">
        <w:t>-</w:t>
      </w:r>
      <w:r w:rsidR="00A66DFF" w:rsidRPr="00B45240">
        <w:t xml:space="preserve"> </w:t>
      </w:r>
      <w:r w:rsidRPr="00B45240">
        <w:t>v</w:t>
      </w:r>
      <w:r w:rsidR="005D57CC" w:rsidRPr="00B45240">
        <w:t xml:space="preserve">jerovnici imaju daljnji rok od </w:t>
      </w:r>
      <w:r w:rsidR="00263E00">
        <w:t xml:space="preserve">15 </w:t>
      </w:r>
      <w:r w:rsidR="005D57CC" w:rsidRPr="00B45240">
        <w:t xml:space="preserve">dana od dana </w:t>
      </w:r>
      <w:r w:rsidR="007177EC">
        <w:t>dostave</w:t>
      </w:r>
      <w:r w:rsidR="005D57CC" w:rsidRPr="00B45240">
        <w:t xml:space="preserve"> očitovanj</w:t>
      </w:r>
      <w:r w:rsidR="00263E00">
        <w:t>a</w:t>
      </w:r>
      <w:r w:rsidR="005D57CC" w:rsidRPr="00B45240">
        <w:t xml:space="preserve"> dužnika i povjerenika </w:t>
      </w:r>
      <w:r w:rsidR="00A66DFF" w:rsidRPr="00B45240">
        <w:t>da ospore tražbine koje smatraju nepostojećim, uz obveznu naznaku iznosa za koji se tražbina osporava i razlog osporavanja</w:t>
      </w:r>
      <w:r w:rsidRPr="00B45240">
        <w:t>,</w:t>
      </w:r>
    </w:p>
    <w:p w:rsidR="001D5B86" w:rsidRPr="00B45240" w:rsidRDefault="000A5197" w:rsidP="002C4707">
      <w:pPr>
        <w:pStyle w:val="Bezproreda"/>
        <w:jc w:val="both"/>
      </w:pPr>
      <w:r w:rsidRPr="00B45240">
        <w:t>-</w:t>
      </w:r>
      <w:r w:rsidR="00A66DFF" w:rsidRPr="00B45240">
        <w:t xml:space="preserve"> </w:t>
      </w:r>
      <w:r w:rsidRPr="00B45240">
        <w:t xml:space="preserve">ako je bilo osporavanja tražbina </w:t>
      </w:r>
      <w:r w:rsidR="00A66DFF" w:rsidRPr="00B45240">
        <w:t>od strane dužnika i/ili povjerenika ili od strane v</w:t>
      </w:r>
      <w:r w:rsidR="00F06E22" w:rsidRPr="00B45240">
        <w:t>jerovnika</w:t>
      </w:r>
      <w:r w:rsidRPr="00B45240">
        <w:t>,</w:t>
      </w:r>
      <w:r w:rsidR="00F06E22" w:rsidRPr="00B45240">
        <w:t xml:space="preserve"> FINA je dužna u roku tri</w:t>
      </w:r>
      <w:r w:rsidR="00A66DFF" w:rsidRPr="00B45240">
        <w:t xml:space="preserve"> dana od isteka rokova za osporavanje tražbina, objaviti tablicu osporenih tražbina na mrežnoj stranici e-Oglasna ploča sudova.</w:t>
      </w:r>
      <w:r w:rsidR="00D44C86" w:rsidRPr="00B45240">
        <w:t xml:space="preserve"> </w:t>
      </w:r>
      <w:r w:rsidR="001D5B86" w:rsidRPr="00B45240">
        <w:t>Osporavanje tražbina podneseno od strane vjerovnika nakon isteka roka za osporavanje sud će odbaciti rješenjem</w:t>
      </w:r>
      <w:r w:rsidR="001D5B86" w:rsidRPr="00B45240">
        <w:rPr>
          <w:rStyle w:val="Referencafusnote"/>
          <w:rFonts w:cs="Arial"/>
          <w:szCs w:val="24"/>
        </w:rPr>
        <w:footnoteReference w:id="110"/>
      </w:r>
      <w:r w:rsidR="001D5B86" w:rsidRPr="00B45240">
        <w:t xml:space="preserve">. </w:t>
      </w:r>
    </w:p>
    <w:p w:rsidR="00D0272A" w:rsidRPr="00B45240" w:rsidRDefault="000A5197" w:rsidP="002C4707">
      <w:pPr>
        <w:pStyle w:val="Bezproreda"/>
        <w:jc w:val="both"/>
      </w:pPr>
      <w:r w:rsidRPr="00B45240">
        <w:t xml:space="preserve">- </w:t>
      </w:r>
      <w:r w:rsidR="00D44C86" w:rsidRPr="00B45240">
        <w:t>FINA je dužna dostaviti sudu cjelokupnu dokumentaciju u papirnatom obliku u roku od tri dana od isteka rokova za osporavanje tražbina.</w:t>
      </w:r>
    </w:p>
    <w:p w:rsidR="00A66DFF" w:rsidRPr="00B45240" w:rsidRDefault="000A5197" w:rsidP="002C4707">
      <w:pPr>
        <w:pStyle w:val="Bezproreda"/>
        <w:jc w:val="both"/>
      </w:pPr>
      <w:r w:rsidRPr="00B45240">
        <w:t xml:space="preserve">- </w:t>
      </w:r>
      <w:r w:rsidR="007177EC">
        <w:t>a</w:t>
      </w:r>
      <w:r w:rsidR="00A66DFF" w:rsidRPr="00B45240">
        <w:t>ko je prijava tražbine, očitovanje o prijavljenim tražbinama ili osporavanje tražbina</w:t>
      </w:r>
      <w:r w:rsidR="00D44C86" w:rsidRPr="00B45240">
        <w:t xml:space="preserve"> primljeno nakon objava</w:t>
      </w:r>
      <w:r w:rsidR="00F357C0" w:rsidRPr="00B45240">
        <w:t xml:space="preserve"> tablica i očitovanja</w:t>
      </w:r>
      <w:r w:rsidR="00D44C86" w:rsidRPr="00B45240">
        <w:t xml:space="preserve">, FINA je dužna sastaviti dopunu tablica zajedno s prijavom tražbina, očitovanjem o prijavljenim tražbinama ili osporavanjem tražbina i ispravama </w:t>
      </w:r>
      <w:r w:rsidR="00F357C0" w:rsidRPr="00B45240">
        <w:t xml:space="preserve">te ju </w:t>
      </w:r>
      <w:r w:rsidR="00D44C86" w:rsidRPr="00B45240">
        <w:t>objaviti na mrežnoj stranici e-Oglasna ploča sudova najkasnije nakon prvog dana od dana primitka.</w:t>
      </w:r>
    </w:p>
    <w:p w:rsidR="00283C2A" w:rsidRPr="00B45240" w:rsidRDefault="00F357C0" w:rsidP="006554DF">
      <w:pPr>
        <w:autoSpaceDE w:val="0"/>
        <w:autoSpaceDN w:val="0"/>
        <w:adjustRightInd w:val="0"/>
        <w:spacing w:before="150" w:after="150" w:line="240" w:lineRule="auto"/>
        <w:ind w:firstLine="705"/>
        <w:jc w:val="both"/>
        <w:rPr>
          <w:rFonts w:ascii="Arial" w:hAnsi="Arial" w:cs="Arial"/>
          <w:sz w:val="24"/>
          <w:szCs w:val="24"/>
        </w:rPr>
      </w:pPr>
      <w:r w:rsidRPr="00B45240">
        <w:rPr>
          <w:rFonts w:ascii="Arial" w:hAnsi="Arial" w:cs="Arial"/>
          <w:sz w:val="24"/>
          <w:szCs w:val="24"/>
        </w:rPr>
        <w:t xml:space="preserve">Polazeći od navedenih činjenica sud bi ročište radi ispitivanja tražbina trebao </w:t>
      </w:r>
      <w:r w:rsidR="00283C2A" w:rsidRPr="00B45240">
        <w:rPr>
          <w:rFonts w:ascii="Arial" w:hAnsi="Arial" w:cs="Arial"/>
          <w:sz w:val="24"/>
          <w:szCs w:val="24"/>
        </w:rPr>
        <w:t xml:space="preserve">odrediti u roku od </w:t>
      </w:r>
      <w:r w:rsidR="002B7AF3">
        <w:rPr>
          <w:rFonts w:ascii="Arial" w:hAnsi="Arial" w:cs="Arial"/>
          <w:sz w:val="24"/>
          <w:szCs w:val="24"/>
        </w:rPr>
        <w:t>104</w:t>
      </w:r>
      <w:r w:rsidR="00283C2A" w:rsidRPr="00B45240">
        <w:rPr>
          <w:rFonts w:ascii="Arial" w:hAnsi="Arial" w:cs="Arial"/>
          <w:sz w:val="24"/>
          <w:szCs w:val="24"/>
        </w:rPr>
        <w:t xml:space="preserve"> do </w:t>
      </w:r>
      <w:r w:rsidR="002B7AF3">
        <w:rPr>
          <w:rFonts w:ascii="Arial" w:hAnsi="Arial" w:cs="Arial"/>
          <w:sz w:val="24"/>
          <w:szCs w:val="24"/>
        </w:rPr>
        <w:t>112</w:t>
      </w:r>
      <w:r w:rsidR="00283C2A" w:rsidRPr="00B45240">
        <w:rPr>
          <w:rFonts w:ascii="Arial" w:hAnsi="Arial" w:cs="Arial"/>
          <w:sz w:val="24"/>
          <w:szCs w:val="24"/>
        </w:rPr>
        <w:t xml:space="preserve"> dana od dana donošenja rješenja </w:t>
      </w:r>
      <w:r w:rsidRPr="00B45240">
        <w:rPr>
          <w:rFonts w:ascii="Arial" w:hAnsi="Arial" w:cs="Arial"/>
          <w:sz w:val="24"/>
          <w:szCs w:val="24"/>
        </w:rPr>
        <w:t xml:space="preserve">o otvaranju </w:t>
      </w:r>
      <w:proofErr w:type="spellStart"/>
      <w:r w:rsidRPr="00B45240">
        <w:rPr>
          <w:rFonts w:ascii="Arial" w:hAnsi="Arial" w:cs="Arial"/>
          <w:sz w:val="24"/>
          <w:szCs w:val="24"/>
        </w:rPr>
        <w:t>predstečajnog</w:t>
      </w:r>
      <w:proofErr w:type="spellEnd"/>
      <w:r w:rsidRPr="00B45240">
        <w:rPr>
          <w:rFonts w:ascii="Arial" w:hAnsi="Arial" w:cs="Arial"/>
          <w:sz w:val="24"/>
          <w:szCs w:val="24"/>
        </w:rPr>
        <w:t xml:space="preserve"> postupka </w:t>
      </w:r>
      <w:r w:rsidR="00283C2A" w:rsidRPr="00B45240">
        <w:rPr>
          <w:rFonts w:ascii="Arial" w:hAnsi="Arial" w:cs="Arial"/>
          <w:sz w:val="24"/>
          <w:szCs w:val="24"/>
        </w:rPr>
        <w:t>pod pretpostavkom da se objave vrše</w:t>
      </w:r>
      <w:r w:rsidR="00427224" w:rsidRPr="00B45240">
        <w:rPr>
          <w:rFonts w:ascii="Arial" w:hAnsi="Arial" w:cs="Arial"/>
          <w:sz w:val="24"/>
          <w:szCs w:val="24"/>
        </w:rPr>
        <w:t xml:space="preserve"> u zakonom predviđenim rokovima i da se rokovi računaju od dana </w:t>
      </w:r>
      <w:r w:rsidR="002B7AF3">
        <w:rPr>
          <w:rFonts w:ascii="Arial" w:hAnsi="Arial" w:cs="Arial"/>
          <w:sz w:val="24"/>
          <w:szCs w:val="24"/>
        </w:rPr>
        <w:t>dostave.</w:t>
      </w:r>
    </w:p>
    <w:p w:rsidR="00B85B34" w:rsidRPr="00894D0A" w:rsidRDefault="00B85B34" w:rsidP="006554DF">
      <w:pPr>
        <w:autoSpaceDE w:val="0"/>
        <w:autoSpaceDN w:val="0"/>
        <w:adjustRightInd w:val="0"/>
        <w:spacing w:before="150" w:after="150" w:line="240" w:lineRule="auto"/>
        <w:ind w:firstLine="705"/>
        <w:jc w:val="both"/>
        <w:rPr>
          <w:rFonts w:ascii="Arial" w:hAnsi="Arial" w:cs="Arial"/>
          <w:sz w:val="24"/>
          <w:szCs w:val="24"/>
        </w:rPr>
      </w:pPr>
    </w:p>
    <w:p w:rsidR="000E6A87" w:rsidRPr="00951AD8" w:rsidRDefault="00951AD8" w:rsidP="00951AD8">
      <w:pPr>
        <w:pStyle w:val="Naslov2"/>
      </w:pPr>
      <w:bookmarkStart w:id="19" w:name="_Toc507067617"/>
      <w:r>
        <w:lastRenderedPageBreak/>
        <w:t>2</w:t>
      </w:r>
      <w:r w:rsidR="000A5197" w:rsidRPr="00951AD8">
        <w:t>.</w:t>
      </w:r>
      <w:r w:rsidR="00DE609E" w:rsidRPr="00951AD8">
        <w:t>2.</w:t>
      </w:r>
      <w:r w:rsidR="00DE265F" w:rsidRPr="00951AD8">
        <w:t xml:space="preserve"> </w:t>
      </w:r>
      <w:r w:rsidR="002E0095" w:rsidRPr="00951AD8">
        <w:t>Imenovanje i razrješenje povjerenika</w:t>
      </w:r>
      <w:bookmarkEnd w:id="19"/>
    </w:p>
    <w:p w:rsidR="006674D6" w:rsidRPr="00894D0A" w:rsidRDefault="006674D6" w:rsidP="000A5197">
      <w:pPr>
        <w:pStyle w:val="Odlomakpopisa"/>
        <w:autoSpaceDE w:val="0"/>
        <w:autoSpaceDN w:val="0"/>
        <w:adjustRightInd w:val="0"/>
        <w:spacing w:before="150" w:after="150" w:line="240" w:lineRule="auto"/>
        <w:ind w:left="709"/>
        <w:jc w:val="both"/>
        <w:rPr>
          <w:rFonts w:ascii="Arial" w:hAnsi="Arial" w:cs="Arial"/>
          <w:b/>
          <w:sz w:val="24"/>
          <w:szCs w:val="24"/>
        </w:rPr>
      </w:pPr>
    </w:p>
    <w:p w:rsidR="006674D6" w:rsidRPr="00951AD8" w:rsidRDefault="00951AD8" w:rsidP="00951AD8">
      <w:pPr>
        <w:pStyle w:val="Naslov3"/>
      </w:pPr>
      <w:bookmarkStart w:id="20" w:name="_Toc507067618"/>
      <w:r>
        <w:t xml:space="preserve">2.2.1. </w:t>
      </w:r>
      <w:r w:rsidR="006674D6" w:rsidRPr="00951AD8">
        <w:t>Imenovanje povjerenika</w:t>
      </w:r>
      <w:bookmarkEnd w:id="20"/>
    </w:p>
    <w:p w:rsidR="003F7F5B" w:rsidRPr="00894D0A" w:rsidRDefault="003F7F5B" w:rsidP="003F7F5B">
      <w:pPr>
        <w:autoSpaceDE w:val="0"/>
        <w:autoSpaceDN w:val="0"/>
        <w:adjustRightInd w:val="0"/>
        <w:spacing w:before="150" w:after="150" w:line="240" w:lineRule="auto"/>
        <w:ind w:firstLine="705"/>
        <w:jc w:val="both"/>
        <w:rPr>
          <w:rFonts w:ascii="Arial" w:hAnsi="Arial" w:cs="Arial"/>
          <w:sz w:val="24"/>
          <w:szCs w:val="24"/>
        </w:rPr>
      </w:pPr>
      <w:r w:rsidRPr="00894D0A">
        <w:rPr>
          <w:rFonts w:ascii="Arial" w:hAnsi="Arial" w:cs="Arial"/>
          <w:sz w:val="24"/>
          <w:szCs w:val="24"/>
        </w:rPr>
        <w:t xml:space="preserve">Povjerenika imenuje sud u rješenju o otvaranju </w:t>
      </w:r>
      <w:proofErr w:type="spellStart"/>
      <w:r w:rsidRPr="00894D0A">
        <w:rPr>
          <w:rFonts w:ascii="Arial" w:hAnsi="Arial" w:cs="Arial"/>
          <w:sz w:val="24"/>
          <w:szCs w:val="24"/>
        </w:rPr>
        <w:t>predstečajnog</w:t>
      </w:r>
      <w:proofErr w:type="spellEnd"/>
      <w:r w:rsidRPr="00894D0A">
        <w:rPr>
          <w:rFonts w:ascii="Arial" w:hAnsi="Arial" w:cs="Arial"/>
          <w:sz w:val="24"/>
          <w:szCs w:val="24"/>
        </w:rPr>
        <w:t xml:space="preserve"> postupka ako smatra da je imenovanje potrebno</w:t>
      </w:r>
      <w:r w:rsidRPr="00894D0A">
        <w:rPr>
          <w:rStyle w:val="Referencafusnote"/>
          <w:rFonts w:ascii="Arial" w:hAnsi="Arial" w:cs="Arial"/>
          <w:sz w:val="24"/>
          <w:szCs w:val="24"/>
        </w:rPr>
        <w:footnoteReference w:id="111"/>
      </w:r>
      <w:r w:rsidRPr="00894D0A">
        <w:rPr>
          <w:rFonts w:ascii="Arial" w:hAnsi="Arial" w:cs="Arial"/>
          <w:sz w:val="24"/>
          <w:szCs w:val="24"/>
        </w:rPr>
        <w:t>.</w:t>
      </w:r>
    </w:p>
    <w:p w:rsidR="0078517A" w:rsidRPr="00894D0A" w:rsidRDefault="000E6A87" w:rsidP="0078517A">
      <w:pPr>
        <w:autoSpaceDE w:val="0"/>
        <w:autoSpaceDN w:val="0"/>
        <w:adjustRightInd w:val="0"/>
        <w:spacing w:before="150" w:after="150" w:line="240" w:lineRule="auto"/>
        <w:ind w:firstLine="705"/>
        <w:jc w:val="both"/>
        <w:rPr>
          <w:rFonts w:ascii="Arial" w:hAnsi="Arial" w:cs="Arial"/>
          <w:sz w:val="24"/>
          <w:szCs w:val="24"/>
        </w:rPr>
      </w:pPr>
      <w:r w:rsidRPr="00894D0A">
        <w:rPr>
          <w:rFonts w:ascii="Arial" w:hAnsi="Arial" w:cs="Arial"/>
          <w:sz w:val="24"/>
          <w:szCs w:val="24"/>
        </w:rPr>
        <w:tab/>
      </w:r>
      <w:r w:rsidR="0078517A" w:rsidRPr="00894D0A">
        <w:rPr>
          <w:rFonts w:ascii="Arial" w:hAnsi="Arial" w:cs="Arial"/>
          <w:sz w:val="24"/>
          <w:szCs w:val="24"/>
        </w:rPr>
        <w:t xml:space="preserve">Odluka o imenovanju povjerenika ovisit će vjerojatno o broju vjerovnika koje je dužnik naveo u ispravama koje je priložio uz prijedlog za otvaranje </w:t>
      </w:r>
      <w:proofErr w:type="spellStart"/>
      <w:r w:rsidR="0078517A" w:rsidRPr="00894D0A">
        <w:rPr>
          <w:rFonts w:ascii="Arial" w:hAnsi="Arial" w:cs="Arial"/>
          <w:sz w:val="24"/>
          <w:szCs w:val="24"/>
        </w:rPr>
        <w:t>predstečajnog</w:t>
      </w:r>
      <w:proofErr w:type="spellEnd"/>
      <w:r w:rsidR="0078517A" w:rsidRPr="00894D0A">
        <w:rPr>
          <w:rFonts w:ascii="Arial" w:hAnsi="Arial" w:cs="Arial"/>
          <w:sz w:val="24"/>
          <w:szCs w:val="24"/>
        </w:rPr>
        <w:t xml:space="preserve"> postupka, ali taj broj ne mora biti točan i</w:t>
      </w:r>
      <w:r w:rsidR="0078517A">
        <w:rPr>
          <w:rFonts w:ascii="Arial" w:hAnsi="Arial" w:cs="Arial"/>
          <w:sz w:val="24"/>
          <w:szCs w:val="24"/>
        </w:rPr>
        <w:t xml:space="preserve"> konačan budući da vjerovnici mogu u</w:t>
      </w:r>
      <w:r w:rsidR="0078517A" w:rsidRPr="00894D0A">
        <w:rPr>
          <w:rFonts w:ascii="Arial" w:hAnsi="Arial" w:cs="Arial"/>
          <w:sz w:val="24"/>
          <w:szCs w:val="24"/>
        </w:rPr>
        <w:t xml:space="preserve"> tijeku postupka prijaviti svoje tražbine koje dužnik nije naveo u popisu obveza. </w:t>
      </w:r>
    </w:p>
    <w:p w:rsidR="003F7F5B" w:rsidRPr="00894D0A" w:rsidRDefault="0078517A" w:rsidP="003F7F5B">
      <w:pPr>
        <w:autoSpaceDE w:val="0"/>
        <w:autoSpaceDN w:val="0"/>
        <w:adjustRightInd w:val="0"/>
        <w:spacing w:before="150" w:after="150" w:line="240" w:lineRule="auto"/>
        <w:ind w:firstLine="705"/>
        <w:jc w:val="both"/>
        <w:rPr>
          <w:rFonts w:ascii="Arial" w:hAnsi="Arial" w:cs="Arial"/>
          <w:sz w:val="24"/>
          <w:szCs w:val="24"/>
        </w:rPr>
      </w:pPr>
      <w:r w:rsidRPr="00894D0A">
        <w:rPr>
          <w:rFonts w:ascii="Arial" w:hAnsi="Arial" w:cs="Arial"/>
          <w:sz w:val="24"/>
          <w:szCs w:val="24"/>
        </w:rPr>
        <w:tab/>
        <w:t xml:space="preserve"> </w:t>
      </w:r>
      <w:r w:rsidR="003F7F5B" w:rsidRPr="00894D0A">
        <w:rPr>
          <w:rFonts w:ascii="Arial" w:hAnsi="Arial" w:cs="Arial"/>
          <w:sz w:val="24"/>
          <w:szCs w:val="24"/>
        </w:rPr>
        <w:t xml:space="preserve">Ako sud ne imenuje povjerenika u rješenju o otvaranju </w:t>
      </w:r>
      <w:proofErr w:type="spellStart"/>
      <w:r w:rsidR="003F7F5B" w:rsidRPr="00894D0A">
        <w:rPr>
          <w:rFonts w:ascii="Arial" w:hAnsi="Arial" w:cs="Arial"/>
          <w:sz w:val="24"/>
          <w:szCs w:val="24"/>
        </w:rPr>
        <w:t>predstečajnog</w:t>
      </w:r>
      <w:proofErr w:type="spellEnd"/>
      <w:r w:rsidR="003F7F5B" w:rsidRPr="00894D0A">
        <w:rPr>
          <w:rFonts w:ascii="Arial" w:hAnsi="Arial" w:cs="Arial"/>
          <w:sz w:val="24"/>
          <w:szCs w:val="24"/>
        </w:rPr>
        <w:t xml:space="preserve"> postupka nema zakonske zapreke da povjerenika imenuje naknadno</w:t>
      </w:r>
      <w:r w:rsidR="007177EC" w:rsidRPr="00894D0A">
        <w:rPr>
          <w:rFonts w:ascii="Arial" w:hAnsi="Arial" w:cs="Arial"/>
          <w:sz w:val="24"/>
          <w:szCs w:val="24"/>
        </w:rPr>
        <w:t>,</w:t>
      </w:r>
      <w:r w:rsidR="003F7F5B" w:rsidRPr="00894D0A">
        <w:rPr>
          <w:rFonts w:ascii="Arial" w:hAnsi="Arial" w:cs="Arial"/>
          <w:sz w:val="24"/>
          <w:szCs w:val="24"/>
        </w:rPr>
        <w:t xml:space="preserve"> ali to može u velikoj mjeri usporiti </w:t>
      </w:r>
      <w:proofErr w:type="spellStart"/>
      <w:r w:rsidR="003F7F5B" w:rsidRPr="00894D0A">
        <w:rPr>
          <w:rFonts w:ascii="Arial" w:hAnsi="Arial" w:cs="Arial"/>
          <w:sz w:val="24"/>
          <w:szCs w:val="24"/>
        </w:rPr>
        <w:t>predstečajni</w:t>
      </w:r>
      <w:proofErr w:type="spellEnd"/>
      <w:r w:rsidR="003F7F5B" w:rsidRPr="00894D0A">
        <w:rPr>
          <w:rFonts w:ascii="Arial" w:hAnsi="Arial" w:cs="Arial"/>
          <w:sz w:val="24"/>
          <w:szCs w:val="24"/>
        </w:rPr>
        <w:t xml:space="preserve"> postupak i dovesti u pitanje </w:t>
      </w:r>
      <w:r w:rsidR="005A00DC" w:rsidRPr="00894D0A">
        <w:rPr>
          <w:rFonts w:ascii="Arial" w:hAnsi="Arial" w:cs="Arial"/>
          <w:sz w:val="24"/>
          <w:szCs w:val="24"/>
        </w:rPr>
        <w:t xml:space="preserve">poštivanje </w:t>
      </w:r>
      <w:r w:rsidR="003F7F5B" w:rsidRPr="00894D0A">
        <w:rPr>
          <w:rFonts w:ascii="Arial" w:hAnsi="Arial" w:cs="Arial"/>
          <w:sz w:val="24"/>
          <w:szCs w:val="24"/>
        </w:rPr>
        <w:t>rokov</w:t>
      </w:r>
      <w:r w:rsidR="005A00DC" w:rsidRPr="00894D0A">
        <w:rPr>
          <w:rFonts w:ascii="Arial" w:hAnsi="Arial" w:cs="Arial"/>
          <w:sz w:val="24"/>
          <w:szCs w:val="24"/>
        </w:rPr>
        <w:t>a</w:t>
      </w:r>
      <w:r w:rsidR="003F7F5B" w:rsidRPr="00894D0A">
        <w:rPr>
          <w:rFonts w:ascii="Arial" w:hAnsi="Arial" w:cs="Arial"/>
          <w:sz w:val="24"/>
          <w:szCs w:val="24"/>
        </w:rPr>
        <w:t xml:space="preserve"> u kojima se postupak mora okončati.</w:t>
      </w:r>
    </w:p>
    <w:p w:rsidR="0078517A" w:rsidRPr="00894D0A" w:rsidRDefault="003F7F5B" w:rsidP="0078517A">
      <w:pPr>
        <w:autoSpaceDE w:val="0"/>
        <w:autoSpaceDN w:val="0"/>
        <w:adjustRightInd w:val="0"/>
        <w:spacing w:before="150" w:after="150" w:line="240" w:lineRule="auto"/>
        <w:ind w:firstLine="705"/>
        <w:jc w:val="both"/>
        <w:rPr>
          <w:rFonts w:ascii="Arial" w:hAnsi="Arial" w:cs="Arial"/>
          <w:sz w:val="24"/>
          <w:szCs w:val="24"/>
        </w:rPr>
      </w:pPr>
      <w:r w:rsidRPr="00894D0A">
        <w:rPr>
          <w:rFonts w:ascii="Arial" w:hAnsi="Arial" w:cs="Arial"/>
          <w:sz w:val="24"/>
          <w:szCs w:val="24"/>
        </w:rPr>
        <w:tab/>
      </w:r>
      <w:r w:rsidR="0078517A" w:rsidRPr="00894D0A">
        <w:rPr>
          <w:rFonts w:ascii="Arial" w:hAnsi="Arial" w:cs="Arial"/>
          <w:sz w:val="24"/>
          <w:szCs w:val="24"/>
        </w:rPr>
        <w:t xml:space="preserve">Ako sud ne bi imenovao povjerenika, njegove dužnosti bi trebao obavljati sud pa je malo vjerojatno da povjerenik neće biti imenovan u rješenju o otvaranju </w:t>
      </w:r>
      <w:proofErr w:type="spellStart"/>
      <w:r w:rsidR="0078517A" w:rsidRPr="00894D0A">
        <w:rPr>
          <w:rFonts w:ascii="Arial" w:hAnsi="Arial" w:cs="Arial"/>
          <w:sz w:val="24"/>
          <w:szCs w:val="24"/>
        </w:rPr>
        <w:t>predstečajnog</w:t>
      </w:r>
      <w:proofErr w:type="spellEnd"/>
      <w:r w:rsidR="0078517A" w:rsidRPr="00894D0A">
        <w:rPr>
          <w:rFonts w:ascii="Arial" w:hAnsi="Arial" w:cs="Arial"/>
          <w:sz w:val="24"/>
          <w:szCs w:val="24"/>
        </w:rPr>
        <w:t xml:space="preserve"> postupka. </w:t>
      </w:r>
    </w:p>
    <w:p w:rsidR="000E6A87" w:rsidRPr="00894D0A" w:rsidRDefault="000E6A87" w:rsidP="0078517A">
      <w:pPr>
        <w:autoSpaceDE w:val="0"/>
        <w:autoSpaceDN w:val="0"/>
        <w:adjustRightInd w:val="0"/>
        <w:spacing w:before="150" w:after="150" w:line="240" w:lineRule="auto"/>
        <w:ind w:firstLine="704"/>
        <w:jc w:val="both"/>
        <w:rPr>
          <w:rFonts w:ascii="Arial" w:hAnsi="Arial" w:cs="Arial"/>
          <w:sz w:val="24"/>
          <w:szCs w:val="24"/>
        </w:rPr>
      </w:pPr>
      <w:r w:rsidRPr="00894D0A">
        <w:rPr>
          <w:rFonts w:ascii="Arial" w:hAnsi="Arial" w:cs="Arial"/>
          <w:sz w:val="24"/>
          <w:szCs w:val="24"/>
        </w:rPr>
        <w:t>Pretpostavke za imenovanje povjerenika iste su kao i pretpostavke za imenovanje</w:t>
      </w:r>
      <w:r w:rsidR="0078517A">
        <w:rPr>
          <w:rFonts w:ascii="Arial" w:hAnsi="Arial" w:cs="Arial"/>
          <w:sz w:val="24"/>
          <w:szCs w:val="24"/>
        </w:rPr>
        <w:t xml:space="preserve"> stečajnog</w:t>
      </w:r>
      <w:r w:rsidRPr="00894D0A">
        <w:rPr>
          <w:rFonts w:ascii="Arial" w:hAnsi="Arial" w:cs="Arial"/>
          <w:sz w:val="24"/>
          <w:szCs w:val="24"/>
        </w:rPr>
        <w:t xml:space="preserve"> upravitelja</w:t>
      </w:r>
      <w:r w:rsidR="00417AF0" w:rsidRPr="00894D0A">
        <w:rPr>
          <w:rStyle w:val="Referencafusnote"/>
          <w:rFonts w:ascii="Arial" w:hAnsi="Arial" w:cs="Arial"/>
          <w:sz w:val="24"/>
          <w:szCs w:val="24"/>
        </w:rPr>
        <w:footnoteReference w:id="112"/>
      </w:r>
      <w:r w:rsidRPr="00894D0A">
        <w:rPr>
          <w:rFonts w:ascii="Arial" w:hAnsi="Arial" w:cs="Arial"/>
          <w:sz w:val="24"/>
          <w:szCs w:val="24"/>
        </w:rPr>
        <w:t xml:space="preserve">. </w:t>
      </w:r>
      <w:r w:rsidR="00F12AE5">
        <w:rPr>
          <w:rFonts w:ascii="Arial" w:hAnsi="Arial" w:cs="Arial"/>
          <w:sz w:val="24"/>
          <w:szCs w:val="24"/>
        </w:rPr>
        <w:t xml:space="preserve">Ako sud </w:t>
      </w:r>
      <w:r w:rsidR="00273570" w:rsidRPr="00894D0A">
        <w:rPr>
          <w:rStyle w:val="pt-zadanifontodlomka-000005"/>
          <w:rFonts w:ascii="Arial" w:hAnsi="Arial" w:cs="Arial"/>
          <w:sz w:val="24"/>
          <w:szCs w:val="24"/>
        </w:rPr>
        <w:t>imen</w:t>
      </w:r>
      <w:r w:rsidR="00F12AE5">
        <w:rPr>
          <w:rStyle w:val="pt-zadanifontodlomka-000005"/>
          <w:rFonts w:ascii="Arial" w:hAnsi="Arial" w:cs="Arial"/>
          <w:sz w:val="24"/>
          <w:szCs w:val="24"/>
        </w:rPr>
        <w:t>uje</w:t>
      </w:r>
      <w:r w:rsidR="00273570" w:rsidRPr="00894D0A">
        <w:rPr>
          <w:rStyle w:val="pt-zadanifontodlomka-000005"/>
          <w:rFonts w:ascii="Arial" w:hAnsi="Arial" w:cs="Arial"/>
          <w:sz w:val="24"/>
          <w:szCs w:val="24"/>
        </w:rPr>
        <w:t xml:space="preserve"> povjerenik</w:t>
      </w:r>
      <w:r w:rsidR="0031325B">
        <w:rPr>
          <w:rStyle w:val="pt-zadanifontodlomka-000005"/>
          <w:rFonts w:ascii="Arial" w:hAnsi="Arial" w:cs="Arial"/>
          <w:sz w:val="24"/>
          <w:szCs w:val="24"/>
        </w:rPr>
        <w:t>a</w:t>
      </w:r>
      <w:r w:rsidR="00273570" w:rsidRPr="00894D0A">
        <w:rPr>
          <w:rStyle w:val="pt-zadanifontodlomka-000005"/>
          <w:rFonts w:ascii="Arial" w:hAnsi="Arial" w:cs="Arial"/>
          <w:sz w:val="24"/>
          <w:szCs w:val="24"/>
        </w:rPr>
        <w:t xml:space="preserve"> izbor se obavlja prije donošenja rješenja o otvaranju </w:t>
      </w:r>
      <w:proofErr w:type="spellStart"/>
      <w:r w:rsidR="00273570" w:rsidRPr="00894D0A">
        <w:rPr>
          <w:rStyle w:val="pt-zadanifontodlomka-000005"/>
          <w:rFonts w:ascii="Arial" w:hAnsi="Arial" w:cs="Arial"/>
          <w:sz w:val="24"/>
          <w:szCs w:val="24"/>
        </w:rPr>
        <w:t>predstečajnog</w:t>
      </w:r>
      <w:proofErr w:type="spellEnd"/>
      <w:r w:rsidR="00273570" w:rsidRPr="00894D0A">
        <w:rPr>
          <w:rStyle w:val="pt-zadanifontodlomka-000005"/>
          <w:rFonts w:ascii="Arial" w:hAnsi="Arial" w:cs="Arial"/>
          <w:sz w:val="24"/>
          <w:szCs w:val="24"/>
        </w:rPr>
        <w:t xml:space="preserve"> postupka</w:t>
      </w:r>
      <w:r w:rsidR="003C49AF" w:rsidRPr="00894D0A">
        <w:rPr>
          <w:rStyle w:val="pt-zadanifontodlomka-000005"/>
          <w:rFonts w:ascii="Arial" w:hAnsi="Arial" w:cs="Arial"/>
          <w:sz w:val="24"/>
          <w:szCs w:val="24"/>
        </w:rPr>
        <w:t xml:space="preserve"> </w:t>
      </w:r>
      <w:r w:rsidRPr="00894D0A">
        <w:rPr>
          <w:rFonts w:ascii="Arial" w:hAnsi="Arial" w:cs="Arial"/>
          <w:sz w:val="24"/>
          <w:szCs w:val="24"/>
          <w:lang w:val="x-none"/>
        </w:rPr>
        <w:t xml:space="preserve">metodom slučajnoga odabira s liste A stečajnih upravitelja za područje nadležnoga </w:t>
      </w:r>
      <w:r w:rsidR="00273570" w:rsidRPr="00894D0A">
        <w:rPr>
          <w:rFonts w:ascii="Arial" w:hAnsi="Arial" w:cs="Arial"/>
          <w:sz w:val="24"/>
          <w:szCs w:val="24"/>
        </w:rPr>
        <w:t xml:space="preserve">trgovačkog </w:t>
      </w:r>
      <w:r w:rsidRPr="00894D0A">
        <w:rPr>
          <w:rFonts w:ascii="Arial" w:hAnsi="Arial" w:cs="Arial"/>
          <w:sz w:val="24"/>
          <w:szCs w:val="24"/>
          <w:lang w:val="x-none"/>
        </w:rPr>
        <w:t xml:space="preserve">suda, ako Zakonom nije drukčije određeno. Ako sud smatra da </w:t>
      </w:r>
      <w:r w:rsidR="00245A86" w:rsidRPr="00894D0A">
        <w:rPr>
          <w:rFonts w:ascii="Arial" w:hAnsi="Arial" w:cs="Arial"/>
          <w:sz w:val="24"/>
          <w:szCs w:val="24"/>
        </w:rPr>
        <w:t xml:space="preserve">povjerenik </w:t>
      </w:r>
      <w:r w:rsidRPr="00894D0A">
        <w:rPr>
          <w:rFonts w:ascii="Arial" w:hAnsi="Arial" w:cs="Arial"/>
          <w:sz w:val="24"/>
          <w:szCs w:val="24"/>
          <w:lang w:val="x-none"/>
        </w:rPr>
        <w:t xml:space="preserve">izabran metodom slučajnoga odabira ne raspolaže potrebnom stručnošću ili poslovnim iskustvom potrebnim za </w:t>
      </w:r>
      <w:r w:rsidR="00245A86" w:rsidRPr="00894D0A">
        <w:rPr>
          <w:rFonts w:ascii="Arial" w:hAnsi="Arial" w:cs="Arial"/>
          <w:sz w:val="24"/>
          <w:szCs w:val="24"/>
        </w:rPr>
        <w:t xml:space="preserve">obavljanje dužnosti povjerenika u </w:t>
      </w:r>
      <w:proofErr w:type="spellStart"/>
      <w:r w:rsidR="00245A86" w:rsidRPr="00894D0A">
        <w:rPr>
          <w:rFonts w:ascii="Arial" w:hAnsi="Arial" w:cs="Arial"/>
          <w:sz w:val="24"/>
          <w:szCs w:val="24"/>
        </w:rPr>
        <w:t>predstečajnom</w:t>
      </w:r>
      <w:proofErr w:type="spellEnd"/>
      <w:r w:rsidR="00245A86" w:rsidRPr="00894D0A">
        <w:rPr>
          <w:rFonts w:ascii="Arial" w:hAnsi="Arial" w:cs="Arial"/>
          <w:sz w:val="24"/>
          <w:szCs w:val="24"/>
        </w:rPr>
        <w:t xml:space="preserve"> postupku,</w:t>
      </w:r>
      <w:r w:rsidRPr="00894D0A">
        <w:rPr>
          <w:rFonts w:ascii="Arial" w:hAnsi="Arial" w:cs="Arial"/>
          <w:sz w:val="24"/>
          <w:szCs w:val="24"/>
          <w:lang w:val="x-none"/>
        </w:rPr>
        <w:t xml:space="preserve"> za </w:t>
      </w:r>
      <w:r w:rsidR="00245A86" w:rsidRPr="00894D0A">
        <w:rPr>
          <w:rFonts w:ascii="Arial" w:hAnsi="Arial" w:cs="Arial"/>
          <w:sz w:val="24"/>
          <w:szCs w:val="24"/>
        </w:rPr>
        <w:t xml:space="preserve">povjerenika </w:t>
      </w:r>
      <w:r w:rsidRPr="00894D0A">
        <w:rPr>
          <w:rFonts w:ascii="Arial" w:hAnsi="Arial" w:cs="Arial"/>
          <w:sz w:val="24"/>
          <w:szCs w:val="24"/>
          <w:lang w:val="x-none"/>
        </w:rPr>
        <w:t>može izabrati drugu osobu s liste A stečajnih upravitelja za područje nadležnoga suda.</w:t>
      </w:r>
      <w:r w:rsidR="007177EC" w:rsidRPr="00894D0A">
        <w:rPr>
          <w:rFonts w:ascii="Arial" w:hAnsi="Arial" w:cs="Arial"/>
          <w:sz w:val="24"/>
          <w:szCs w:val="24"/>
        </w:rPr>
        <w:t xml:space="preserve"> U praksi se pojavilo pitanje da li druga osoba </w:t>
      </w:r>
      <w:r w:rsidR="00F12AE5">
        <w:rPr>
          <w:rFonts w:ascii="Arial" w:hAnsi="Arial" w:cs="Arial"/>
          <w:sz w:val="24"/>
          <w:szCs w:val="24"/>
        </w:rPr>
        <w:t xml:space="preserve">koju izabire sud mora biti </w:t>
      </w:r>
      <w:r w:rsidR="007177EC" w:rsidRPr="00894D0A">
        <w:rPr>
          <w:rFonts w:ascii="Arial" w:hAnsi="Arial" w:cs="Arial"/>
          <w:sz w:val="24"/>
          <w:szCs w:val="24"/>
        </w:rPr>
        <w:t xml:space="preserve">izabrana metodom slučajnog odabira ili </w:t>
      </w:r>
      <w:r w:rsidR="00F12AE5">
        <w:rPr>
          <w:rFonts w:ascii="Arial" w:hAnsi="Arial" w:cs="Arial"/>
          <w:sz w:val="24"/>
          <w:szCs w:val="24"/>
        </w:rPr>
        <w:t xml:space="preserve">slobodnim </w:t>
      </w:r>
      <w:r w:rsidR="007177EC" w:rsidRPr="00894D0A">
        <w:rPr>
          <w:rFonts w:ascii="Arial" w:hAnsi="Arial" w:cs="Arial"/>
          <w:sz w:val="24"/>
          <w:szCs w:val="24"/>
        </w:rPr>
        <w:t xml:space="preserve">odabirom suda. </w:t>
      </w:r>
      <w:r w:rsidR="00F12AE5">
        <w:rPr>
          <w:rFonts w:ascii="Arial" w:hAnsi="Arial" w:cs="Arial"/>
          <w:sz w:val="24"/>
          <w:szCs w:val="24"/>
        </w:rPr>
        <w:t>Imajući u vidu ciljeve radi kojih je uvedena metoda slučajnog odabira čine se p</w:t>
      </w:r>
      <w:r w:rsidR="007177EC" w:rsidRPr="00894D0A">
        <w:rPr>
          <w:rFonts w:ascii="Arial" w:hAnsi="Arial" w:cs="Arial"/>
          <w:sz w:val="24"/>
          <w:szCs w:val="24"/>
        </w:rPr>
        <w:t xml:space="preserve">rihvatljivije </w:t>
      </w:r>
      <w:r w:rsidR="00F12AE5">
        <w:rPr>
          <w:rFonts w:ascii="Arial" w:hAnsi="Arial" w:cs="Arial"/>
          <w:sz w:val="24"/>
          <w:szCs w:val="24"/>
        </w:rPr>
        <w:t xml:space="preserve">da sud </w:t>
      </w:r>
      <w:r w:rsidR="007177EC" w:rsidRPr="00894D0A">
        <w:rPr>
          <w:rFonts w:ascii="Arial" w:hAnsi="Arial" w:cs="Arial"/>
          <w:sz w:val="24"/>
          <w:szCs w:val="24"/>
        </w:rPr>
        <w:t xml:space="preserve">drugu osobu </w:t>
      </w:r>
      <w:r w:rsidR="00F12AE5">
        <w:rPr>
          <w:rFonts w:ascii="Arial" w:hAnsi="Arial" w:cs="Arial"/>
          <w:sz w:val="24"/>
          <w:szCs w:val="24"/>
        </w:rPr>
        <w:t xml:space="preserve">izabire </w:t>
      </w:r>
      <w:r w:rsidR="007177EC" w:rsidRPr="00894D0A">
        <w:rPr>
          <w:rFonts w:ascii="Arial" w:hAnsi="Arial" w:cs="Arial"/>
          <w:sz w:val="24"/>
          <w:szCs w:val="24"/>
        </w:rPr>
        <w:t>s liste A</w:t>
      </w:r>
      <w:r w:rsidR="00F12AE5">
        <w:rPr>
          <w:rFonts w:ascii="Arial" w:hAnsi="Arial" w:cs="Arial"/>
          <w:sz w:val="24"/>
          <w:szCs w:val="24"/>
        </w:rPr>
        <w:t xml:space="preserve"> stečajnih upravitelja </w:t>
      </w:r>
      <w:r w:rsidR="007177EC" w:rsidRPr="00894D0A">
        <w:rPr>
          <w:rFonts w:ascii="Arial" w:hAnsi="Arial" w:cs="Arial"/>
          <w:sz w:val="24"/>
          <w:szCs w:val="24"/>
        </w:rPr>
        <w:t>metodom slučajnog odabira, s time da sudac može ograničiti broj stečajnih upravitelja za koje smatra da raspolažu potrebnom stručnošću i poslovnim iskustvom potrebnim za o</w:t>
      </w:r>
      <w:r w:rsidR="00F12AE5">
        <w:rPr>
          <w:rFonts w:ascii="Arial" w:hAnsi="Arial" w:cs="Arial"/>
          <w:sz w:val="24"/>
          <w:szCs w:val="24"/>
        </w:rPr>
        <w:t>bavljanje dužnosti povjerenika u konkretnom predmetu.</w:t>
      </w:r>
    </w:p>
    <w:p w:rsidR="00894D0A" w:rsidRPr="00894D0A" w:rsidRDefault="00894D0A" w:rsidP="003F7F5B">
      <w:pPr>
        <w:autoSpaceDE w:val="0"/>
        <w:autoSpaceDN w:val="0"/>
        <w:adjustRightInd w:val="0"/>
        <w:spacing w:before="150" w:after="150" w:line="240" w:lineRule="auto"/>
        <w:ind w:firstLine="705"/>
        <w:jc w:val="both"/>
        <w:rPr>
          <w:rFonts w:ascii="Arial" w:hAnsi="Arial" w:cs="Arial"/>
          <w:sz w:val="24"/>
          <w:szCs w:val="24"/>
        </w:rPr>
      </w:pPr>
    </w:p>
    <w:p w:rsidR="006674D6" w:rsidRDefault="00951AD8" w:rsidP="00951AD8">
      <w:pPr>
        <w:pStyle w:val="Naslov3"/>
      </w:pPr>
      <w:bookmarkStart w:id="21" w:name="_Toc507067619"/>
      <w:r>
        <w:t xml:space="preserve">2.2.2. </w:t>
      </w:r>
      <w:r w:rsidR="006674D6" w:rsidRPr="00951AD8">
        <w:t>Dužnosti povjerenika</w:t>
      </w:r>
      <w:bookmarkEnd w:id="21"/>
    </w:p>
    <w:p w:rsidR="00951AD8" w:rsidRPr="00951AD8" w:rsidRDefault="00951AD8" w:rsidP="00951AD8"/>
    <w:p w:rsidR="00245A86" w:rsidRPr="00894D0A" w:rsidRDefault="003F7F5B" w:rsidP="000909B6">
      <w:pPr>
        <w:pStyle w:val="Bezproreda"/>
        <w:jc w:val="both"/>
      </w:pPr>
      <w:r w:rsidRPr="00894D0A">
        <w:tab/>
      </w:r>
      <w:r w:rsidR="00245A86" w:rsidRPr="00894D0A">
        <w:t xml:space="preserve">Dužnosti povjerenika </w:t>
      </w:r>
      <w:r w:rsidR="00273570" w:rsidRPr="00894D0A">
        <w:t xml:space="preserve">u </w:t>
      </w:r>
      <w:proofErr w:type="spellStart"/>
      <w:r w:rsidR="00273570" w:rsidRPr="00894D0A">
        <w:t>predstečajnom</w:t>
      </w:r>
      <w:proofErr w:type="spellEnd"/>
      <w:r w:rsidR="00273570" w:rsidRPr="00894D0A">
        <w:t xml:space="preserve"> postupku </w:t>
      </w:r>
      <w:r w:rsidR="00245A86" w:rsidRPr="00894D0A">
        <w:t>su</w:t>
      </w:r>
      <w:r w:rsidR="0004203C" w:rsidRPr="00894D0A">
        <w:rPr>
          <w:rStyle w:val="Referencafusnote"/>
          <w:rFonts w:cs="Arial"/>
          <w:szCs w:val="24"/>
        </w:rPr>
        <w:footnoteReference w:id="113"/>
      </w:r>
      <w:r w:rsidR="00245A86" w:rsidRPr="00894D0A">
        <w:t>:</w:t>
      </w:r>
    </w:p>
    <w:p w:rsidR="00245A86" w:rsidRPr="00E53FD0" w:rsidRDefault="00245A86" w:rsidP="000909B6">
      <w:pPr>
        <w:pStyle w:val="Bezproreda"/>
        <w:jc w:val="both"/>
      </w:pPr>
      <w:r w:rsidRPr="00894D0A">
        <w:t xml:space="preserve">- </w:t>
      </w:r>
      <w:r w:rsidRPr="00894D0A">
        <w:rPr>
          <w:lang w:val="x-none"/>
        </w:rPr>
        <w:t>ispitati poslovanje dužnika</w:t>
      </w:r>
      <w:r w:rsidR="00E53FD0">
        <w:t>,</w:t>
      </w:r>
    </w:p>
    <w:p w:rsidR="00245A86" w:rsidRPr="00E53FD0" w:rsidRDefault="00245A86" w:rsidP="000909B6">
      <w:pPr>
        <w:pStyle w:val="Bezproreda"/>
        <w:jc w:val="both"/>
      </w:pPr>
      <w:r w:rsidRPr="00894D0A">
        <w:t xml:space="preserve">- </w:t>
      </w:r>
      <w:r w:rsidRPr="00894D0A">
        <w:rPr>
          <w:lang w:val="x-none"/>
        </w:rPr>
        <w:t>ispitati popis imovine i obveza dužnika</w:t>
      </w:r>
      <w:r w:rsidR="00E53FD0">
        <w:t>,</w:t>
      </w:r>
    </w:p>
    <w:p w:rsidR="00245A86" w:rsidRPr="00E53FD0" w:rsidRDefault="00245A86" w:rsidP="000909B6">
      <w:pPr>
        <w:pStyle w:val="Bezproreda"/>
        <w:jc w:val="both"/>
      </w:pPr>
      <w:r w:rsidRPr="00894D0A">
        <w:t xml:space="preserve">- </w:t>
      </w:r>
      <w:r w:rsidRPr="00894D0A">
        <w:rPr>
          <w:lang w:val="x-none"/>
        </w:rPr>
        <w:t>ispitati vjerodostojnost prijavljenih tražbina</w:t>
      </w:r>
      <w:r w:rsidR="00E53FD0">
        <w:t>,</w:t>
      </w:r>
    </w:p>
    <w:p w:rsidR="00245A86" w:rsidRPr="00E53FD0" w:rsidRDefault="00245A86" w:rsidP="000909B6">
      <w:pPr>
        <w:pStyle w:val="Bezproreda"/>
        <w:jc w:val="both"/>
      </w:pPr>
      <w:r w:rsidRPr="00894D0A">
        <w:t xml:space="preserve">- </w:t>
      </w:r>
      <w:r w:rsidRPr="00894D0A">
        <w:rPr>
          <w:lang w:val="x-none"/>
        </w:rPr>
        <w:t>osporiti tražbine ako na temelju priopćenja vjerovnika ili iz nekoga drugog razloga posumnja u njihovo postojanje</w:t>
      </w:r>
      <w:r w:rsidR="00E53FD0">
        <w:t>,</w:t>
      </w:r>
    </w:p>
    <w:p w:rsidR="00245A86" w:rsidRPr="00E53FD0" w:rsidRDefault="00245A86" w:rsidP="000909B6">
      <w:pPr>
        <w:pStyle w:val="Bezproreda"/>
        <w:jc w:val="both"/>
      </w:pPr>
      <w:r w:rsidRPr="00894D0A">
        <w:t xml:space="preserve">- </w:t>
      </w:r>
      <w:r w:rsidRPr="00894D0A">
        <w:rPr>
          <w:lang w:val="x-none"/>
        </w:rPr>
        <w:t>nadzirati poslovanje dužnika, osobito financijsko poslovanje dužnika, stvaranje obveza prema trećim osobama, izdavanje sredstava osiguranja plaćanja, te poslovanje u prodaji robe odnosno usluga, pazeći pritom da se ne oštećuje imovina dužnika</w:t>
      </w:r>
      <w:r w:rsidR="00E53FD0">
        <w:t>,</w:t>
      </w:r>
    </w:p>
    <w:p w:rsidR="00245A86" w:rsidRPr="00894D0A" w:rsidRDefault="00245A86" w:rsidP="000909B6">
      <w:pPr>
        <w:pStyle w:val="Bezproreda"/>
        <w:jc w:val="both"/>
        <w:rPr>
          <w:lang w:val="x-none"/>
        </w:rPr>
      </w:pPr>
      <w:r w:rsidRPr="00894D0A">
        <w:t xml:space="preserve">- </w:t>
      </w:r>
      <w:r w:rsidRPr="00894D0A">
        <w:rPr>
          <w:lang w:val="x-none"/>
        </w:rPr>
        <w:t xml:space="preserve">podnijeti prijavu sudu ako dužnik postupa protivno odredbama članka 67. </w:t>
      </w:r>
      <w:r w:rsidR="00273570" w:rsidRPr="00894D0A">
        <w:t>SZ-a</w:t>
      </w:r>
      <w:r w:rsidR="00E53FD0">
        <w:t>,</w:t>
      </w:r>
    </w:p>
    <w:p w:rsidR="00245A86" w:rsidRPr="00894D0A" w:rsidRDefault="00245A86" w:rsidP="000909B6">
      <w:pPr>
        <w:pStyle w:val="Bezproreda"/>
        <w:jc w:val="both"/>
        <w:rPr>
          <w:lang w:val="x-none"/>
        </w:rPr>
      </w:pPr>
      <w:r w:rsidRPr="00894D0A">
        <w:t xml:space="preserve">- </w:t>
      </w:r>
      <w:r w:rsidRPr="00894D0A">
        <w:rPr>
          <w:lang w:val="x-none"/>
        </w:rPr>
        <w:t xml:space="preserve">izdavati naloge i potvrde prema odredbama članaka 69. i 71. </w:t>
      </w:r>
      <w:r w:rsidR="00273570" w:rsidRPr="00894D0A">
        <w:t>SZ-a</w:t>
      </w:r>
      <w:r w:rsidR="00E53FD0">
        <w:t>,</w:t>
      </w:r>
    </w:p>
    <w:p w:rsidR="00245A86" w:rsidRPr="00E53FD0" w:rsidRDefault="00245A86" w:rsidP="000909B6">
      <w:pPr>
        <w:pStyle w:val="Bezproreda"/>
        <w:jc w:val="both"/>
      </w:pPr>
      <w:r w:rsidRPr="00894D0A">
        <w:t xml:space="preserve">- </w:t>
      </w:r>
      <w:r w:rsidRPr="00894D0A">
        <w:rPr>
          <w:lang w:val="x-none"/>
        </w:rPr>
        <w:t xml:space="preserve">nadzirati pravodobnost i potpunost namirenja troškova </w:t>
      </w:r>
      <w:proofErr w:type="spellStart"/>
      <w:r w:rsidRPr="00894D0A">
        <w:rPr>
          <w:lang w:val="x-none"/>
        </w:rPr>
        <w:t>predstečajnoga</w:t>
      </w:r>
      <w:proofErr w:type="spellEnd"/>
      <w:r w:rsidRPr="00894D0A">
        <w:rPr>
          <w:lang w:val="x-none"/>
        </w:rPr>
        <w:t xml:space="preserve"> postupka</w:t>
      </w:r>
      <w:r w:rsidR="00E53FD0">
        <w:t>,</w:t>
      </w:r>
    </w:p>
    <w:p w:rsidR="00245A86" w:rsidRDefault="00245A86" w:rsidP="000909B6">
      <w:pPr>
        <w:pStyle w:val="Bezproreda"/>
        <w:jc w:val="both"/>
      </w:pPr>
      <w:r w:rsidRPr="00894D0A">
        <w:t xml:space="preserve">- </w:t>
      </w:r>
      <w:r w:rsidRPr="00894D0A">
        <w:rPr>
          <w:lang w:val="x-none"/>
        </w:rPr>
        <w:t>obavljati druge poslove u skladu s</w:t>
      </w:r>
      <w:r w:rsidR="003C49AF" w:rsidRPr="00894D0A">
        <w:t>a</w:t>
      </w:r>
      <w:r w:rsidRPr="00894D0A">
        <w:rPr>
          <w:lang w:val="x-none"/>
        </w:rPr>
        <w:t xml:space="preserve"> </w:t>
      </w:r>
      <w:r w:rsidR="00273570" w:rsidRPr="00894D0A">
        <w:t>Z</w:t>
      </w:r>
      <w:proofErr w:type="spellStart"/>
      <w:r w:rsidRPr="00894D0A">
        <w:rPr>
          <w:lang w:val="x-none"/>
        </w:rPr>
        <w:t>akonom</w:t>
      </w:r>
      <w:proofErr w:type="spellEnd"/>
      <w:r w:rsidRPr="00894D0A">
        <w:rPr>
          <w:lang w:val="x-none"/>
        </w:rPr>
        <w:t>.</w:t>
      </w:r>
    </w:p>
    <w:p w:rsidR="000909B6" w:rsidRPr="000909B6" w:rsidRDefault="000909B6" w:rsidP="000909B6">
      <w:pPr>
        <w:pStyle w:val="Bezproreda"/>
        <w:jc w:val="both"/>
      </w:pPr>
    </w:p>
    <w:p w:rsidR="00273570" w:rsidRDefault="003F7F5B" w:rsidP="000909B6">
      <w:pPr>
        <w:pStyle w:val="Bezproreda"/>
        <w:jc w:val="both"/>
      </w:pPr>
      <w:r w:rsidRPr="00894D0A">
        <w:tab/>
      </w:r>
      <w:r w:rsidR="00273570" w:rsidRPr="00894D0A">
        <w:rPr>
          <w:lang w:val="x-none"/>
        </w:rPr>
        <w:t>Ako</w:t>
      </w:r>
      <w:r w:rsidR="00273570" w:rsidRPr="00894D0A">
        <w:t xml:space="preserve"> povjerenik </w:t>
      </w:r>
      <w:r w:rsidR="00273570" w:rsidRPr="00894D0A">
        <w:rPr>
          <w:lang w:val="x-none"/>
        </w:rPr>
        <w:t>ne postupi prema nalogu suda za obavljanje dužnosti sud ga može kazniti novčanom kaznom do 10.000,00 kuna.</w:t>
      </w:r>
    </w:p>
    <w:p w:rsidR="00E53FD0" w:rsidRPr="00E53FD0" w:rsidRDefault="00E53FD0" w:rsidP="00273570">
      <w:pPr>
        <w:autoSpaceDE w:val="0"/>
        <w:autoSpaceDN w:val="0"/>
        <w:adjustRightInd w:val="0"/>
        <w:spacing w:before="120" w:after="120" w:line="240" w:lineRule="auto"/>
        <w:jc w:val="both"/>
        <w:rPr>
          <w:rFonts w:ascii="Arial" w:hAnsi="Arial" w:cs="Arial"/>
          <w:sz w:val="24"/>
          <w:szCs w:val="24"/>
        </w:rPr>
      </w:pPr>
    </w:p>
    <w:p w:rsidR="006674D6" w:rsidRDefault="00951AD8" w:rsidP="00951AD8">
      <w:pPr>
        <w:pStyle w:val="Naslov3"/>
      </w:pPr>
      <w:bookmarkStart w:id="22" w:name="_Toc507067620"/>
      <w:r>
        <w:t xml:space="preserve">2.2.3. </w:t>
      </w:r>
      <w:r w:rsidR="006674D6" w:rsidRPr="00951AD8">
        <w:t>Razrješenje povjerenika</w:t>
      </w:r>
      <w:bookmarkEnd w:id="22"/>
    </w:p>
    <w:p w:rsidR="00951AD8" w:rsidRPr="00951AD8" w:rsidRDefault="00951AD8" w:rsidP="00951AD8"/>
    <w:p w:rsidR="00F12AE5" w:rsidRPr="00211A36" w:rsidRDefault="004B7578" w:rsidP="000909B6">
      <w:pPr>
        <w:pStyle w:val="Bezproreda"/>
        <w:jc w:val="both"/>
      </w:pPr>
      <w:r w:rsidRPr="00211A36">
        <w:tab/>
        <w:t>Sud može razriješiti povjerenika</w:t>
      </w:r>
      <w:r w:rsidR="00F12AE5" w:rsidRPr="00211A36">
        <w:t>:</w:t>
      </w:r>
    </w:p>
    <w:p w:rsidR="00211A36" w:rsidRPr="00211A36" w:rsidRDefault="00F12AE5" w:rsidP="000909B6">
      <w:pPr>
        <w:pStyle w:val="Bezproreda"/>
        <w:jc w:val="both"/>
      </w:pPr>
      <w:r w:rsidRPr="00211A36">
        <w:t>- po službenoj dužnosti</w:t>
      </w:r>
      <w:r w:rsidR="004B7578" w:rsidRPr="00211A36">
        <w:t xml:space="preserve"> </w:t>
      </w:r>
      <w:r w:rsidRPr="00211A36">
        <w:t xml:space="preserve">- </w:t>
      </w:r>
      <w:r w:rsidR="004B7578" w:rsidRPr="00211A36">
        <w:t xml:space="preserve">ako svoju dužnost ne obavlja uspješno ili iz drugih važnih razloga, osobito ako ne postupa po nalogu suda. Prije donošenja odluke o razrješenju sud će omogućiti </w:t>
      </w:r>
      <w:r w:rsidR="00227036" w:rsidRPr="00211A36">
        <w:t>povjereniku</w:t>
      </w:r>
      <w:r w:rsidR="004B7578" w:rsidRPr="00211A36">
        <w:t xml:space="preserve"> da se oč</w:t>
      </w:r>
      <w:r w:rsidR="003051E9" w:rsidRPr="00211A36">
        <w:t xml:space="preserve">ituje, osim ako važni razlozi </w:t>
      </w:r>
      <w:r w:rsidR="004B7578" w:rsidRPr="00211A36">
        <w:t>zaht</w:t>
      </w:r>
      <w:r w:rsidR="003051E9" w:rsidRPr="00211A36">
        <w:t>i</w:t>
      </w:r>
      <w:r w:rsidR="004B7578" w:rsidRPr="00211A36">
        <w:t>jevaju da se drukčije postupi. Povjerenik nema pravo na žalb</w:t>
      </w:r>
      <w:r w:rsidR="00211A36" w:rsidRPr="00211A36">
        <w:t>u protiv rješenja o razrješenju,</w:t>
      </w:r>
    </w:p>
    <w:p w:rsidR="00211A36" w:rsidRDefault="00211A36" w:rsidP="000909B6">
      <w:pPr>
        <w:pStyle w:val="Bezproreda"/>
        <w:jc w:val="both"/>
      </w:pPr>
      <w:r w:rsidRPr="00211A36">
        <w:t xml:space="preserve">- </w:t>
      </w:r>
      <w:r w:rsidR="004B7578" w:rsidRPr="00211A36">
        <w:t>na osobni zahtjev</w:t>
      </w:r>
      <w:r w:rsidRPr="00211A36">
        <w:t xml:space="preserve"> -</w:t>
      </w:r>
      <w:r w:rsidR="004B7578" w:rsidRPr="00211A36">
        <w:t xml:space="preserve"> </w:t>
      </w:r>
      <w:r w:rsidRPr="00211A36">
        <w:t>p</w:t>
      </w:r>
      <w:r w:rsidR="004B7578" w:rsidRPr="00211A36">
        <w:t xml:space="preserve">rotiv rješenja o odbijanju osobnoga zahtjeva za razrješenje pravo na žalbu ima povjerenik. </w:t>
      </w:r>
    </w:p>
    <w:p w:rsidR="000909B6" w:rsidRPr="00211A36" w:rsidRDefault="000909B6" w:rsidP="000909B6">
      <w:pPr>
        <w:pStyle w:val="Bezproreda"/>
        <w:jc w:val="both"/>
      </w:pPr>
    </w:p>
    <w:p w:rsidR="004B7578" w:rsidRDefault="004D6DF0" w:rsidP="000909B6">
      <w:pPr>
        <w:pStyle w:val="Bezproreda"/>
        <w:ind w:firstLine="708"/>
        <w:jc w:val="both"/>
      </w:pPr>
      <w:r>
        <w:t>Sud može razri</w:t>
      </w:r>
      <w:r w:rsidR="004B7578" w:rsidRPr="00211A36">
        <w:t>ješenom</w:t>
      </w:r>
      <w:r w:rsidR="00227036" w:rsidRPr="00211A36">
        <w:t xml:space="preserve"> povjereniku naložiti vraćanje onoga što je tijekom postupka primio, osobito ako odbije ispuniti nalog suda u vezi s predajom dužnosti.</w:t>
      </w:r>
      <w:r w:rsidR="004B7578" w:rsidRPr="00211A36">
        <w:t xml:space="preserve"> Rješenjem o razrješenju povjerenika sud će donijeti odluku o imenovanju novoga povjerenika odgovarajućom primjenom odredbe članka 84. SZ-a. </w:t>
      </w:r>
    </w:p>
    <w:p w:rsidR="000909B6" w:rsidRPr="00211A36" w:rsidRDefault="000909B6" w:rsidP="000909B6">
      <w:pPr>
        <w:pStyle w:val="Bezproreda"/>
        <w:ind w:firstLine="708"/>
        <w:jc w:val="both"/>
      </w:pPr>
    </w:p>
    <w:p w:rsidR="000909B6" w:rsidRDefault="00273570" w:rsidP="000909B6">
      <w:pPr>
        <w:pStyle w:val="Bezproreda"/>
        <w:jc w:val="both"/>
      </w:pPr>
      <w:r w:rsidRPr="00211A36">
        <w:tab/>
        <w:t xml:space="preserve">Povjerenik prestaje obavljati dužnost na dan donošenja rješenja o potvrdi </w:t>
      </w:r>
      <w:proofErr w:type="spellStart"/>
      <w:r w:rsidRPr="00211A36">
        <w:t>predstečajnog</w:t>
      </w:r>
      <w:proofErr w:type="spellEnd"/>
      <w:r w:rsidRPr="00211A36">
        <w:t xml:space="preserve"> sporazuma, na dan otvaranja stečajnog postupka ili odlukom vjerovnika</w:t>
      </w:r>
      <w:r w:rsidR="00227036" w:rsidRPr="00211A36">
        <w:rPr>
          <w:rStyle w:val="Referencafusnote"/>
          <w:rFonts w:cs="Arial"/>
          <w:szCs w:val="24"/>
          <w:lang w:val="x-none"/>
        </w:rPr>
        <w:footnoteReference w:id="114"/>
      </w:r>
      <w:r w:rsidRPr="00211A36">
        <w:t>.</w:t>
      </w:r>
      <w:r w:rsidR="004D6DF0" w:rsidRPr="00211A36">
        <w:t xml:space="preserve"> </w:t>
      </w:r>
      <w:r w:rsidR="0078517A">
        <w:t xml:space="preserve">Budući da </w:t>
      </w:r>
      <w:r w:rsidR="00071634">
        <w:t xml:space="preserve">dužnost povjerenika </w:t>
      </w:r>
      <w:r w:rsidR="0078517A">
        <w:t xml:space="preserve">može </w:t>
      </w:r>
      <w:r w:rsidR="00071634">
        <w:t>p</w:t>
      </w:r>
      <w:r w:rsidR="004D6DF0">
        <w:t>resta</w:t>
      </w:r>
      <w:r w:rsidR="0078517A">
        <w:t>ti</w:t>
      </w:r>
      <w:r w:rsidR="00071634">
        <w:t xml:space="preserve"> </w:t>
      </w:r>
      <w:r w:rsidR="002D43FE">
        <w:t xml:space="preserve">i </w:t>
      </w:r>
      <w:r w:rsidR="00071634">
        <w:t>o</w:t>
      </w:r>
      <w:r w:rsidR="004D6DF0" w:rsidRPr="00211A36">
        <w:t>dluk</w:t>
      </w:r>
      <w:r w:rsidR="00071634">
        <w:t>om</w:t>
      </w:r>
      <w:r w:rsidR="004D6DF0" w:rsidRPr="00211A36">
        <w:t xml:space="preserve"> vjerovnika </w:t>
      </w:r>
      <w:r w:rsidR="004D6DF0">
        <w:t xml:space="preserve">otvara </w:t>
      </w:r>
      <w:r w:rsidR="0078517A">
        <w:t xml:space="preserve">se </w:t>
      </w:r>
      <w:r w:rsidR="004D6DF0">
        <w:t>pitanja kada i na</w:t>
      </w:r>
      <w:r w:rsidR="00071634">
        <w:t xml:space="preserve"> koji način vjerovnici mogu don</w:t>
      </w:r>
      <w:r w:rsidR="004D6DF0">
        <w:t xml:space="preserve">ijeti takvu odluku. U </w:t>
      </w:r>
      <w:proofErr w:type="spellStart"/>
      <w:r w:rsidR="004D6DF0">
        <w:t>predstečajnom</w:t>
      </w:r>
      <w:proofErr w:type="spellEnd"/>
      <w:r w:rsidR="004D6DF0">
        <w:t xml:space="preserve"> postupku nema skupštine vjerovnika kao tijela </w:t>
      </w:r>
      <w:proofErr w:type="spellStart"/>
      <w:r w:rsidR="004D6DF0">
        <w:t>predstečajnog</w:t>
      </w:r>
      <w:proofErr w:type="spellEnd"/>
      <w:r w:rsidR="004D6DF0">
        <w:t xml:space="preserve"> postupka</w:t>
      </w:r>
      <w:r w:rsidR="004D6DF0">
        <w:rPr>
          <w:rStyle w:val="Referencafusnote"/>
          <w:rFonts w:cs="Arial"/>
          <w:szCs w:val="24"/>
        </w:rPr>
        <w:footnoteReference w:id="115"/>
      </w:r>
      <w:r w:rsidR="004D6DF0">
        <w:t xml:space="preserve">. </w:t>
      </w:r>
      <w:r w:rsidR="002251E0">
        <w:t>U</w:t>
      </w:r>
      <w:r w:rsidR="004D6DF0">
        <w:t xml:space="preserve"> </w:t>
      </w:r>
      <w:proofErr w:type="spellStart"/>
      <w:r w:rsidR="004D6DF0">
        <w:t>predstečajnom</w:t>
      </w:r>
      <w:proofErr w:type="spellEnd"/>
      <w:r w:rsidR="004D6DF0">
        <w:t xml:space="preserve"> postupku održavaju </w:t>
      </w:r>
      <w:r w:rsidR="002251E0">
        <w:t xml:space="preserve">se </w:t>
      </w:r>
      <w:r w:rsidR="004D6DF0">
        <w:t>dva ročišta: a) ročište radi ispitivanja tražbina i b) ročište za glasovanje o prijedlogu plana restrukturiranja</w:t>
      </w:r>
      <w:r w:rsidR="002251E0">
        <w:t xml:space="preserve">. Mogu li vjerovnici na tim ročištima donijeti i odluku o </w:t>
      </w:r>
      <w:proofErr w:type="spellStart"/>
      <w:r w:rsidR="002251E0">
        <w:t>razriješenju</w:t>
      </w:r>
      <w:proofErr w:type="spellEnd"/>
      <w:r w:rsidR="002251E0">
        <w:t xml:space="preserve"> povjerenika ?</w:t>
      </w:r>
      <w:r w:rsidR="002251E0" w:rsidRPr="002251E0">
        <w:t xml:space="preserve"> </w:t>
      </w:r>
      <w:r w:rsidR="002251E0">
        <w:t>Budući da je zakon propisao o čemu se odlučuje n</w:t>
      </w:r>
      <w:r w:rsidR="002251E0" w:rsidRPr="00894D0A">
        <w:t>a tim ročištima</w:t>
      </w:r>
      <w:r w:rsidR="002B7AF3">
        <w:t xml:space="preserve">, </w:t>
      </w:r>
      <w:r w:rsidR="0078517A">
        <w:t xml:space="preserve">vjerovnici ne mogu </w:t>
      </w:r>
      <w:r w:rsidR="004E3F02">
        <w:t xml:space="preserve">na njima </w:t>
      </w:r>
      <w:r w:rsidR="00780D95">
        <w:t>don</w:t>
      </w:r>
      <w:r w:rsidR="002B7AF3">
        <w:t>ositi</w:t>
      </w:r>
      <w:r w:rsidR="00780D95">
        <w:t xml:space="preserve"> odluku o prestanku dužnosti </w:t>
      </w:r>
      <w:r w:rsidR="002251E0" w:rsidRPr="00894D0A">
        <w:t xml:space="preserve">povjerenika. </w:t>
      </w:r>
      <w:r w:rsidR="00D56703">
        <w:t>Jedini izlaz iz navedene si</w:t>
      </w:r>
      <w:r w:rsidR="00446369">
        <w:t xml:space="preserve">tuacije je da sud na prijedlog vjerovnika odredi posebno ročište radi odlučivanja o prestanku obavljanja dužnosti povjerenika. Drugo je pitanje koji je broj vjerovnika potreban za prijedlog sazivanja ročišta radi donošenja odluke. Mišljenja smo da bi bila potrebna ona većina vjerovnika </w:t>
      </w:r>
      <w:r w:rsidR="00D56703">
        <w:t xml:space="preserve">koja je potrebna za </w:t>
      </w:r>
      <w:r w:rsidR="00446369">
        <w:t>sazivanja skupštine vjerovnika.</w:t>
      </w:r>
      <w:r w:rsidR="00446369">
        <w:rPr>
          <w:rStyle w:val="Referencafusnote"/>
        </w:rPr>
        <w:footnoteReference w:id="116"/>
      </w:r>
      <w:r w:rsidR="00446369">
        <w:t xml:space="preserve"> </w:t>
      </w:r>
      <w:r w:rsidR="002251E0" w:rsidRPr="00894D0A">
        <w:t xml:space="preserve">Sud </w:t>
      </w:r>
      <w:r w:rsidR="004E3F02">
        <w:t xml:space="preserve">bi bio dužan održati ročište u roku od 30 dana od primitka prijedloga. Protiv rješenja o određivanju ročišta žalba ne bi bila dopuštena, ali bi bila dopuštena ako je sud odbio zakazati ročište. Pravo na žalbu imali bi podnositelji prijedloga. </w:t>
      </w:r>
    </w:p>
    <w:p w:rsidR="004E3F02" w:rsidRDefault="004E3F02" w:rsidP="000909B6">
      <w:pPr>
        <w:pStyle w:val="Bezproreda"/>
        <w:jc w:val="both"/>
      </w:pPr>
    </w:p>
    <w:p w:rsidR="000061C8" w:rsidRDefault="00273570" w:rsidP="000909B6">
      <w:pPr>
        <w:pStyle w:val="Bezproreda"/>
        <w:jc w:val="both"/>
      </w:pPr>
      <w:r w:rsidRPr="00211A36">
        <w:tab/>
        <w:t>Na određivanje povjerenika, nadzor nad njegovim radom, odgovornost te nagradu i naknadu troškova za rad na odgovarajući se način primjenjuju odredbe</w:t>
      </w:r>
      <w:r w:rsidR="004B7578" w:rsidRPr="00211A36">
        <w:t xml:space="preserve"> Stečajnog zakona</w:t>
      </w:r>
      <w:r w:rsidRPr="00211A36">
        <w:t xml:space="preserve"> o stečajnom upravitelju</w:t>
      </w:r>
      <w:r w:rsidR="007340F3" w:rsidRPr="00211A36">
        <w:rPr>
          <w:rStyle w:val="Referencafusnote"/>
          <w:rFonts w:cs="Arial"/>
          <w:lang w:val="x-none"/>
        </w:rPr>
        <w:footnoteReference w:id="117"/>
      </w:r>
      <w:r w:rsidRPr="00211A36">
        <w:t>.</w:t>
      </w:r>
      <w:r w:rsidR="00071634">
        <w:rPr>
          <w:color w:val="000000" w:themeColor="text1"/>
          <w:sz w:val="21"/>
          <w:szCs w:val="21"/>
        </w:rPr>
        <w:t xml:space="preserve"> </w:t>
      </w:r>
      <w:r w:rsidR="00071634">
        <w:rPr>
          <w:color w:val="000000" w:themeColor="text1"/>
        </w:rPr>
        <w:t>U stečajnom postupku nadzor nad radom stečajnog upravitelja je zadatak suda, odbora vjerovnika i skupštine vjerovnika.</w:t>
      </w:r>
      <w:r w:rsidR="002251E0">
        <w:rPr>
          <w:color w:val="000000" w:themeColor="text1"/>
        </w:rPr>
        <w:t xml:space="preserve"> Kao što je navedeno u </w:t>
      </w:r>
      <w:proofErr w:type="spellStart"/>
      <w:r w:rsidR="002251E0">
        <w:rPr>
          <w:color w:val="000000" w:themeColor="text1"/>
        </w:rPr>
        <w:t>predstečajnom</w:t>
      </w:r>
      <w:proofErr w:type="spellEnd"/>
      <w:r w:rsidR="002251E0">
        <w:rPr>
          <w:color w:val="000000" w:themeColor="text1"/>
        </w:rPr>
        <w:t xml:space="preserve"> postupku nema odbora vjerovnika i skupštine vjerovnika pa nadzor nad radom</w:t>
      </w:r>
      <w:r w:rsidR="00D05BD2">
        <w:rPr>
          <w:color w:val="000000" w:themeColor="text1"/>
        </w:rPr>
        <w:t xml:space="preserve"> povjerenika</w:t>
      </w:r>
      <w:r w:rsidR="002251E0">
        <w:rPr>
          <w:color w:val="000000" w:themeColor="text1"/>
        </w:rPr>
        <w:t xml:space="preserve"> obavlja sud. Sud je ovlašten u svako doba zatražiti obavijesti ili izvješće povjerenika o tijeku </w:t>
      </w:r>
      <w:proofErr w:type="spellStart"/>
      <w:r w:rsidR="002251E0">
        <w:rPr>
          <w:color w:val="000000" w:themeColor="text1"/>
        </w:rPr>
        <w:t>predstečajnog</w:t>
      </w:r>
      <w:proofErr w:type="spellEnd"/>
      <w:r w:rsidR="002251E0">
        <w:rPr>
          <w:color w:val="000000" w:themeColor="text1"/>
        </w:rPr>
        <w:t xml:space="preserve"> postupka i drugim činjenicama koje su odlučne za vođenje i tijek postupka (npr. postupa li dužnik u skladu sa zakonom; da li obavlja samo nužna plaćanja za redovno poslovanje i slično). </w:t>
      </w:r>
      <w:r w:rsidR="005938B9">
        <w:rPr>
          <w:color w:val="000000" w:themeColor="text1"/>
        </w:rPr>
        <w:t xml:space="preserve">Ako </w:t>
      </w:r>
      <w:r w:rsidR="005938B9">
        <w:rPr>
          <w:color w:val="000000" w:themeColor="text1"/>
        </w:rPr>
        <w:lastRenderedPageBreak/>
        <w:t>povjerenik ne postupi po nalogu suda, sud ga može kazniti novčanom kaznom do 10.000,00 kn</w:t>
      </w:r>
      <w:r w:rsidR="005938B9">
        <w:rPr>
          <w:rStyle w:val="Referencafusnote"/>
          <w:rFonts w:cs="Arial"/>
          <w:color w:val="000000" w:themeColor="text1"/>
        </w:rPr>
        <w:footnoteReference w:id="118"/>
      </w:r>
      <w:r w:rsidR="005938B9">
        <w:rPr>
          <w:color w:val="000000" w:themeColor="text1"/>
        </w:rPr>
        <w:t xml:space="preserve">. </w:t>
      </w:r>
      <w:r w:rsidR="000061C8" w:rsidRPr="00211A36">
        <w:t>Uredbom o kriterijima i načinu obračuna i plaćanja nagrade stečajnim upraviteljima</w:t>
      </w:r>
      <w:r w:rsidR="0078776D" w:rsidRPr="00211A36">
        <w:rPr>
          <w:rStyle w:val="Referencafusnote"/>
          <w:rFonts w:cs="Arial"/>
        </w:rPr>
        <w:footnoteReference w:id="119"/>
      </w:r>
      <w:r w:rsidR="000061C8" w:rsidRPr="00211A36">
        <w:t xml:space="preserve"> određena je jednokratna nagrada povjerenika u </w:t>
      </w:r>
      <w:proofErr w:type="spellStart"/>
      <w:r w:rsidR="000061C8" w:rsidRPr="00211A36">
        <w:t>predstečajnom</w:t>
      </w:r>
      <w:proofErr w:type="spellEnd"/>
      <w:r w:rsidR="000061C8" w:rsidRPr="00211A36">
        <w:t xml:space="preserve"> postupku u iznosu od 3.000,00 kn do 20.000,00 kn ovisno o složenosti poslova koje je obavio. Nagrada se isplaćuje na teret dužnika.</w:t>
      </w:r>
    </w:p>
    <w:p w:rsidR="00011A25" w:rsidRDefault="00011A25" w:rsidP="00011A25">
      <w:pPr>
        <w:pStyle w:val="tb-na16"/>
        <w:spacing w:after="0"/>
        <w:jc w:val="both"/>
        <w:rPr>
          <w:rFonts w:ascii="Arial" w:hAnsi="Arial" w:cs="Arial"/>
        </w:rPr>
      </w:pPr>
    </w:p>
    <w:p w:rsidR="00283C2A" w:rsidRPr="00951AD8" w:rsidRDefault="00951AD8" w:rsidP="00951AD8">
      <w:pPr>
        <w:pStyle w:val="Naslov2"/>
      </w:pPr>
      <w:bookmarkStart w:id="23" w:name="_Toc507067621"/>
      <w:r>
        <w:t xml:space="preserve">2.3. </w:t>
      </w:r>
      <w:r w:rsidR="005F1E9E" w:rsidRPr="00951AD8">
        <w:t>U</w:t>
      </w:r>
      <w:r w:rsidR="008C2690" w:rsidRPr="00951AD8">
        <w:t>tvrđivanje tražbina</w:t>
      </w:r>
      <w:bookmarkEnd w:id="23"/>
    </w:p>
    <w:p w:rsidR="00951AD8" w:rsidRDefault="00951AD8" w:rsidP="00951AD8">
      <w:pPr>
        <w:autoSpaceDE w:val="0"/>
        <w:autoSpaceDN w:val="0"/>
        <w:adjustRightInd w:val="0"/>
        <w:spacing w:before="120" w:after="120" w:line="240" w:lineRule="auto"/>
        <w:jc w:val="both"/>
        <w:rPr>
          <w:rFonts w:ascii="Arial" w:hAnsi="Arial" w:cs="Arial"/>
          <w:b/>
          <w:sz w:val="24"/>
          <w:szCs w:val="24"/>
        </w:rPr>
      </w:pPr>
    </w:p>
    <w:p w:rsidR="00857CC3" w:rsidRDefault="00951AD8" w:rsidP="00951AD8">
      <w:pPr>
        <w:pStyle w:val="Naslov3"/>
      </w:pPr>
      <w:bookmarkStart w:id="24" w:name="_Toc507067622"/>
      <w:r>
        <w:t>2.3</w:t>
      </w:r>
      <w:r w:rsidR="00676BB1" w:rsidRPr="004B7311">
        <w:t xml:space="preserve">.1. </w:t>
      </w:r>
      <w:r w:rsidR="00857CC3" w:rsidRPr="004B7311">
        <w:t>Prijava tražbina</w:t>
      </w:r>
      <w:bookmarkEnd w:id="24"/>
    </w:p>
    <w:p w:rsidR="00951AD8" w:rsidRPr="00951AD8" w:rsidRDefault="00951AD8" w:rsidP="00951AD8"/>
    <w:p w:rsidR="00A377E1" w:rsidRPr="004B7311" w:rsidRDefault="005F1E9E" w:rsidP="000909B6">
      <w:pPr>
        <w:pStyle w:val="Bezproreda"/>
        <w:jc w:val="both"/>
      </w:pPr>
      <w:r w:rsidRPr="004B7311">
        <w:tab/>
        <w:t xml:space="preserve">Vjerovnici dužnika u </w:t>
      </w:r>
      <w:proofErr w:type="spellStart"/>
      <w:r w:rsidRPr="004B7311">
        <w:t>predstečajnom</w:t>
      </w:r>
      <w:proofErr w:type="spellEnd"/>
      <w:r w:rsidRPr="004B7311">
        <w:t xml:space="preserve"> postupku su </w:t>
      </w:r>
      <w:r w:rsidR="00E77FE8" w:rsidRPr="004B7311">
        <w:t>osobni</w:t>
      </w:r>
      <w:r w:rsidRPr="004B7311">
        <w:t xml:space="preserve"> </w:t>
      </w:r>
      <w:r w:rsidR="00E77FE8" w:rsidRPr="004B7311">
        <w:t xml:space="preserve">vjerovnici dužnika koji </w:t>
      </w:r>
      <w:r w:rsidRPr="004B7311">
        <w:t xml:space="preserve">u vrijeme otvaranja </w:t>
      </w:r>
      <w:proofErr w:type="spellStart"/>
      <w:r w:rsidRPr="004B7311">
        <w:t>predstečajnog</w:t>
      </w:r>
      <w:proofErr w:type="spellEnd"/>
      <w:r w:rsidRPr="004B7311">
        <w:t xml:space="preserve"> postupka imaju imovinskopravnu tražbinu prema dužniku</w:t>
      </w:r>
      <w:r w:rsidRPr="004B7311">
        <w:rPr>
          <w:rStyle w:val="Referencafusnote"/>
          <w:rFonts w:cs="Arial"/>
          <w:szCs w:val="24"/>
        </w:rPr>
        <w:footnoteReference w:id="120"/>
      </w:r>
      <w:r w:rsidRPr="004B7311">
        <w:t>.</w:t>
      </w:r>
      <w:r w:rsidR="00A377E1" w:rsidRPr="004B7311">
        <w:t xml:space="preserve"> </w:t>
      </w:r>
      <w:r w:rsidR="006B6363" w:rsidRPr="004B7311">
        <w:t xml:space="preserve">Prije </w:t>
      </w:r>
      <w:r w:rsidR="004B7311" w:rsidRPr="004B7311">
        <w:t xml:space="preserve">stupanja na snagu </w:t>
      </w:r>
      <w:r w:rsidR="006B6363" w:rsidRPr="004B7311">
        <w:t xml:space="preserve">Zakona o izmjenama i dopunama </w:t>
      </w:r>
      <w:r w:rsidR="00FA73CA" w:rsidRPr="004B7311">
        <w:t>Stečajnog zakona</w:t>
      </w:r>
      <w:r w:rsidR="006B6363" w:rsidRPr="004B7311">
        <w:t xml:space="preserve"> pojam vjerov</w:t>
      </w:r>
      <w:r w:rsidR="00FA73CA" w:rsidRPr="004B7311">
        <w:t>nika je bio drukčije određen („</w:t>
      </w:r>
      <w:r w:rsidR="00FA73CA" w:rsidRPr="0039688B">
        <w:rPr>
          <w:i/>
        </w:rPr>
        <w:t>V</w:t>
      </w:r>
      <w:r w:rsidR="006B6363" w:rsidRPr="0039688B">
        <w:rPr>
          <w:i/>
        </w:rPr>
        <w:t xml:space="preserve">jerovnik u </w:t>
      </w:r>
      <w:proofErr w:type="spellStart"/>
      <w:r w:rsidR="006B6363" w:rsidRPr="0039688B">
        <w:rPr>
          <w:i/>
        </w:rPr>
        <w:t>pre</w:t>
      </w:r>
      <w:r w:rsidR="002B7AF3" w:rsidRPr="0039688B">
        <w:rPr>
          <w:i/>
        </w:rPr>
        <w:t>d</w:t>
      </w:r>
      <w:r w:rsidR="006B6363" w:rsidRPr="0039688B">
        <w:rPr>
          <w:i/>
        </w:rPr>
        <w:t>stečajnom</w:t>
      </w:r>
      <w:proofErr w:type="spellEnd"/>
      <w:r w:rsidR="006B6363" w:rsidRPr="0039688B">
        <w:rPr>
          <w:i/>
        </w:rPr>
        <w:t xml:space="preserve"> postupku je osoba koja u vrijeme otvaranja </w:t>
      </w:r>
      <w:proofErr w:type="spellStart"/>
      <w:r w:rsidR="006B6363" w:rsidRPr="0039688B">
        <w:rPr>
          <w:i/>
        </w:rPr>
        <w:t>pre</w:t>
      </w:r>
      <w:r w:rsidR="002B7AF3" w:rsidRPr="0039688B">
        <w:rPr>
          <w:i/>
        </w:rPr>
        <w:t>d</w:t>
      </w:r>
      <w:r w:rsidR="006B6363" w:rsidRPr="0039688B">
        <w:rPr>
          <w:i/>
        </w:rPr>
        <w:t>stečajnog</w:t>
      </w:r>
      <w:proofErr w:type="spellEnd"/>
      <w:r w:rsidR="006B6363" w:rsidRPr="0039688B">
        <w:rPr>
          <w:i/>
        </w:rPr>
        <w:t xml:space="preserve"> postupka ima imovinskopravnu tražbinu prema dužniku</w:t>
      </w:r>
      <w:r w:rsidR="004B7311" w:rsidRPr="0039688B">
        <w:rPr>
          <w:i/>
        </w:rPr>
        <w:t>.</w:t>
      </w:r>
      <w:r w:rsidR="004B7311" w:rsidRPr="004B7311">
        <w:t xml:space="preserve">“). Nije </w:t>
      </w:r>
      <w:r w:rsidR="006B6363" w:rsidRPr="004B7311">
        <w:t>jasno uvođenje pojma „</w:t>
      </w:r>
      <w:r w:rsidR="00E77FE8" w:rsidRPr="004B7311">
        <w:t>osobni vjerovnik</w:t>
      </w:r>
      <w:r w:rsidR="006B6363" w:rsidRPr="004B7311">
        <w:t xml:space="preserve">“, jer svaki vjerovnik </w:t>
      </w:r>
      <w:r w:rsidR="00E77FE8" w:rsidRPr="004B7311">
        <w:t>koj</w:t>
      </w:r>
      <w:r w:rsidR="006B6363" w:rsidRPr="004B7311">
        <w:t>i ima imovinskopravnu tražbinu prema dužniku je njegov osobni vjerovnik. Osobni vjerovnici dužnika po</w:t>
      </w:r>
      <w:r w:rsidR="004B7311" w:rsidRPr="004B7311">
        <w:t>staju i cesionar, i jamac koji je</w:t>
      </w:r>
      <w:r w:rsidR="006B6363" w:rsidRPr="004B7311">
        <w:t xml:space="preserve"> podmiri</w:t>
      </w:r>
      <w:r w:rsidR="004B7311" w:rsidRPr="004B7311">
        <w:t>o</w:t>
      </w:r>
      <w:r w:rsidR="006B6363" w:rsidRPr="004B7311">
        <w:t xml:space="preserve"> dužnikov dug prema glavnom vjerovniku</w:t>
      </w:r>
      <w:r w:rsidR="002B7AF3">
        <w:t xml:space="preserve">, i </w:t>
      </w:r>
      <w:r w:rsidR="008B187A">
        <w:t>primatelj upute (</w:t>
      </w:r>
      <w:proofErr w:type="spellStart"/>
      <w:r w:rsidR="008B187A">
        <w:t>asignatar</w:t>
      </w:r>
      <w:proofErr w:type="spellEnd"/>
      <w:r w:rsidR="008B187A">
        <w:t>), i solidarni dužnik koji je ispunio obvezu prema vjerovniku</w:t>
      </w:r>
      <w:r w:rsidR="004B7311" w:rsidRPr="004B7311">
        <w:t>.</w:t>
      </w:r>
      <w:r w:rsidR="006B6363" w:rsidRPr="004B7311">
        <w:t xml:space="preserve"> </w:t>
      </w:r>
      <w:r w:rsidR="008B187A">
        <w:t>Na dužničkoj strani moguće je postojanje os</w:t>
      </w:r>
      <w:r w:rsidR="004B7311" w:rsidRPr="004B7311">
        <w:t>obn</w:t>
      </w:r>
      <w:r w:rsidR="008B187A">
        <w:t>og</w:t>
      </w:r>
      <w:r w:rsidR="004B7311" w:rsidRPr="004B7311">
        <w:t xml:space="preserve"> dužnik</w:t>
      </w:r>
      <w:r w:rsidR="008B187A">
        <w:t>a</w:t>
      </w:r>
      <w:r w:rsidR="004B7311" w:rsidRPr="004B7311">
        <w:t xml:space="preserve"> </w:t>
      </w:r>
      <w:r w:rsidR="008B187A">
        <w:t xml:space="preserve">ali </w:t>
      </w:r>
      <w:r w:rsidR="004B7311" w:rsidRPr="004B7311">
        <w:t>i dužnik</w:t>
      </w:r>
      <w:r w:rsidR="008B187A">
        <w:t>a</w:t>
      </w:r>
      <w:r w:rsidR="004B7311" w:rsidRPr="004B7311">
        <w:t xml:space="preserve"> koji nije osobni dužnik</w:t>
      </w:r>
      <w:r w:rsidR="008B187A">
        <w:t xml:space="preserve"> </w:t>
      </w:r>
      <w:r w:rsidR="006B6363" w:rsidRPr="004B7311">
        <w:t xml:space="preserve">budući da dužnik ne mora biti i osobni dužnik već može biti samo </w:t>
      </w:r>
      <w:r w:rsidR="008B187A">
        <w:t>založni</w:t>
      </w:r>
      <w:r w:rsidR="006B6363" w:rsidRPr="004B7311">
        <w:t xml:space="preserve"> dužnik. </w:t>
      </w:r>
    </w:p>
    <w:p w:rsidR="004B7311" w:rsidRPr="004B7311" w:rsidRDefault="005F1E9E" w:rsidP="006554DF">
      <w:pPr>
        <w:autoSpaceDE w:val="0"/>
        <w:autoSpaceDN w:val="0"/>
        <w:adjustRightInd w:val="0"/>
        <w:spacing w:before="150" w:after="150" w:line="240" w:lineRule="auto"/>
        <w:jc w:val="both"/>
        <w:rPr>
          <w:rFonts w:ascii="Arial" w:hAnsi="Arial" w:cs="Arial"/>
          <w:sz w:val="24"/>
          <w:szCs w:val="24"/>
        </w:rPr>
      </w:pPr>
      <w:r w:rsidRPr="004B7311">
        <w:rPr>
          <w:rFonts w:ascii="Arial" w:hAnsi="Arial" w:cs="Arial"/>
          <w:sz w:val="24"/>
          <w:szCs w:val="24"/>
        </w:rPr>
        <w:tab/>
        <w:t>Vje</w:t>
      </w:r>
      <w:r w:rsidR="004178BF" w:rsidRPr="004B7311">
        <w:rPr>
          <w:rFonts w:ascii="Arial" w:hAnsi="Arial" w:cs="Arial"/>
          <w:sz w:val="24"/>
          <w:szCs w:val="24"/>
        </w:rPr>
        <w:t>rovnici podnose prijavu tražbine</w:t>
      </w:r>
      <w:r w:rsidRPr="004B7311">
        <w:rPr>
          <w:rFonts w:ascii="Arial" w:hAnsi="Arial" w:cs="Arial"/>
          <w:sz w:val="24"/>
          <w:szCs w:val="24"/>
        </w:rPr>
        <w:t xml:space="preserve"> </w:t>
      </w:r>
      <w:r w:rsidR="004B7311" w:rsidRPr="004B7311">
        <w:rPr>
          <w:rFonts w:ascii="Arial" w:hAnsi="Arial" w:cs="Arial"/>
          <w:sz w:val="24"/>
          <w:szCs w:val="24"/>
        </w:rPr>
        <w:t xml:space="preserve">nadležnoj jedinici </w:t>
      </w:r>
      <w:r w:rsidRPr="004B7311">
        <w:rPr>
          <w:rFonts w:ascii="Arial" w:hAnsi="Arial" w:cs="Arial"/>
          <w:sz w:val="24"/>
          <w:szCs w:val="24"/>
        </w:rPr>
        <w:t>FINA-</w:t>
      </w:r>
      <w:r w:rsidR="004B7311" w:rsidRPr="004B7311">
        <w:rPr>
          <w:rFonts w:ascii="Arial" w:hAnsi="Arial" w:cs="Arial"/>
          <w:sz w:val="24"/>
          <w:szCs w:val="24"/>
        </w:rPr>
        <w:t>e</w:t>
      </w:r>
      <w:r w:rsidRPr="004B7311">
        <w:rPr>
          <w:rFonts w:ascii="Arial" w:hAnsi="Arial" w:cs="Arial"/>
          <w:sz w:val="24"/>
          <w:szCs w:val="24"/>
        </w:rPr>
        <w:t xml:space="preserve"> </w:t>
      </w:r>
      <w:r w:rsidR="005A00DC" w:rsidRPr="004B7311">
        <w:rPr>
          <w:rFonts w:ascii="Arial" w:hAnsi="Arial" w:cs="Arial"/>
          <w:sz w:val="24"/>
          <w:szCs w:val="24"/>
        </w:rPr>
        <w:t xml:space="preserve">na propisanom obrascu </w:t>
      </w:r>
      <w:r w:rsidRPr="004B7311">
        <w:rPr>
          <w:rFonts w:ascii="Arial" w:hAnsi="Arial" w:cs="Arial"/>
          <w:sz w:val="24"/>
          <w:szCs w:val="24"/>
        </w:rPr>
        <w:t xml:space="preserve">u roku od </w:t>
      </w:r>
      <w:r w:rsidR="004B7311" w:rsidRPr="004B7311">
        <w:rPr>
          <w:rFonts w:ascii="Arial" w:hAnsi="Arial" w:cs="Arial"/>
          <w:sz w:val="24"/>
          <w:szCs w:val="24"/>
        </w:rPr>
        <w:t>21</w:t>
      </w:r>
      <w:r w:rsidRPr="004B7311">
        <w:rPr>
          <w:rFonts w:ascii="Arial" w:hAnsi="Arial" w:cs="Arial"/>
          <w:sz w:val="24"/>
          <w:szCs w:val="24"/>
        </w:rPr>
        <w:t xml:space="preserve"> dana od dana </w:t>
      </w:r>
      <w:r w:rsidR="004B7311" w:rsidRPr="004B7311">
        <w:rPr>
          <w:rFonts w:ascii="Arial" w:hAnsi="Arial" w:cs="Arial"/>
          <w:sz w:val="24"/>
          <w:szCs w:val="24"/>
        </w:rPr>
        <w:t xml:space="preserve">dostave </w:t>
      </w:r>
      <w:r w:rsidRPr="004B7311">
        <w:rPr>
          <w:rFonts w:ascii="Arial" w:hAnsi="Arial" w:cs="Arial"/>
          <w:sz w:val="24"/>
          <w:szCs w:val="24"/>
        </w:rPr>
        <w:t>rješenja</w:t>
      </w:r>
      <w:r w:rsidR="00CF1A98" w:rsidRPr="004B7311">
        <w:rPr>
          <w:rFonts w:ascii="Arial" w:hAnsi="Arial" w:cs="Arial"/>
          <w:sz w:val="24"/>
          <w:szCs w:val="24"/>
        </w:rPr>
        <w:t xml:space="preserve"> na</w:t>
      </w:r>
      <w:r w:rsidRPr="004B7311">
        <w:rPr>
          <w:rFonts w:ascii="Arial" w:hAnsi="Arial" w:cs="Arial"/>
          <w:sz w:val="24"/>
          <w:szCs w:val="24"/>
        </w:rPr>
        <w:t xml:space="preserve"> mrežnoj stranici e-Oglasna ploča sudova</w:t>
      </w:r>
      <w:r w:rsidR="005A00DC" w:rsidRPr="004B7311">
        <w:rPr>
          <w:rFonts w:ascii="Arial" w:hAnsi="Arial" w:cs="Arial"/>
          <w:sz w:val="24"/>
          <w:szCs w:val="24"/>
        </w:rPr>
        <w:t>.</w:t>
      </w:r>
      <w:r w:rsidRPr="004B7311">
        <w:rPr>
          <w:rFonts w:ascii="Arial" w:hAnsi="Arial" w:cs="Arial"/>
          <w:sz w:val="24"/>
          <w:szCs w:val="24"/>
        </w:rPr>
        <w:t xml:space="preserve"> </w:t>
      </w:r>
      <w:r w:rsidR="004B7311" w:rsidRPr="004B7311">
        <w:rPr>
          <w:rFonts w:ascii="Arial" w:hAnsi="Arial" w:cs="Arial"/>
          <w:sz w:val="24"/>
          <w:szCs w:val="24"/>
        </w:rPr>
        <w:t>Prijava treba da sadrži:</w:t>
      </w:r>
    </w:p>
    <w:p w:rsidR="004B7311" w:rsidRPr="004B7311" w:rsidRDefault="004B7311" w:rsidP="002E39E0">
      <w:pPr>
        <w:pStyle w:val="Bezproreda"/>
      </w:pPr>
      <w:r w:rsidRPr="004B7311">
        <w:t xml:space="preserve">1. podatke za identifikaciju vjerovnika, </w:t>
      </w:r>
    </w:p>
    <w:p w:rsidR="004B7311" w:rsidRPr="004B7311" w:rsidRDefault="004B7311" w:rsidP="002E39E0">
      <w:pPr>
        <w:pStyle w:val="Bezproreda"/>
      </w:pPr>
      <w:r w:rsidRPr="004B7311">
        <w:t>2. podatke za identifikaciju dužnika,</w:t>
      </w:r>
    </w:p>
    <w:p w:rsidR="002E39E0" w:rsidRDefault="004B7311" w:rsidP="002E39E0">
      <w:pPr>
        <w:pStyle w:val="Bezproreda"/>
      </w:pPr>
      <w:r w:rsidRPr="004B7311">
        <w:t>3. pravnu osnovu tražbine, iznos dospjele tražbine i iznos tražbine koja dospijeva nakon otvaranja</w:t>
      </w:r>
      <w:r w:rsidR="002E39E0">
        <w:t xml:space="preserve"> </w:t>
      </w:r>
    </w:p>
    <w:p w:rsidR="004B7311" w:rsidRPr="004B7311" w:rsidRDefault="002E39E0" w:rsidP="002E39E0">
      <w:pPr>
        <w:pStyle w:val="Bezproreda"/>
      </w:pPr>
      <w:r>
        <w:t xml:space="preserve">   </w:t>
      </w:r>
      <w:r w:rsidR="004B7311" w:rsidRPr="004B7311">
        <w:t xml:space="preserve"> </w:t>
      </w:r>
      <w:proofErr w:type="spellStart"/>
      <w:r w:rsidR="004B7311" w:rsidRPr="004B7311">
        <w:t>predstečajnoga</w:t>
      </w:r>
      <w:proofErr w:type="spellEnd"/>
      <w:r w:rsidR="004B7311" w:rsidRPr="004B7311">
        <w:t xml:space="preserve"> postupka u kunama,</w:t>
      </w:r>
    </w:p>
    <w:p w:rsidR="004B7311" w:rsidRPr="004B7311" w:rsidRDefault="004B7311" w:rsidP="002E39E0">
      <w:pPr>
        <w:pStyle w:val="Bezproreda"/>
      </w:pPr>
      <w:r w:rsidRPr="004B7311">
        <w:t>4. naznaku o dokazu za postojanje tražbine,</w:t>
      </w:r>
    </w:p>
    <w:p w:rsidR="004B7311" w:rsidRPr="00C33965" w:rsidRDefault="004B7311" w:rsidP="002E39E0">
      <w:pPr>
        <w:pStyle w:val="Bezproreda"/>
      </w:pPr>
      <w:r w:rsidRPr="00C33965">
        <w:t>5. naznaku o postojanju ovršne isprave.</w:t>
      </w:r>
    </w:p>
    <w:p w:rsidR="004B7311" w:rsidRPr="000758B7" w:rsidRDefault="004B7311" w:rsidP="004B7311">
      <w:pPr>
        <w:spacing w:before="100" w:beforeAutospacing="1" w:after="100" w:afterAutospacing="1" w:line="240" w:lineRule="auto"/>
        <w:jc w:val="both"/>
        <w:rPr>
          <w:rFonts w:ascii="Arial" w:eastAsia="Times New Roman" w:hAnsi="Arial" w:cs="Arial"/>
          <w:sz w:val="24"/>
          <w:szCs w:val="24"/>
        </w:rPr>
      </w:pPr>
      <w:r w:rsidRPr="00C33965">
        <w:rPr>
          <w:rFonts w:ascii="Arial" w:eastAsia="Times New Roman" w:hAnsi="Arial" w:cs="Arial"/>
          <w:sz w:val="24"/>
          <w:szCs w:val="24"/>
        </w:rPr>
        <w:tab/>
        <w:t>P</w:t>
      </w:r>
      <w:r w:rsidRPr="004B7311">
        <w:rPr>
          <w:rFonts w:ascii="Arial" w:hAnsi="Arial" w:cs="Arial"/>
          <w:sz w:val="24"/>
          <w:szCs w:val="24"/>
        </w:rPr>
        <w:t>rijavi tražbine u prijepisu se prilažu isprave iz kojih tražbina proizlazi, odnosno kojima se dokazuje</w:t>
      </w:r>
      <w:r>
        <w:rPr>
          <w:rFonts w:ascii="Arial" w:hAnsi="Arial" w:cs="Arial"/>
          <w:sz w:val="24"/>
          <w:szCs w:val="24"/>
        </w:rPr>
        <w:t>.</w:t>
      </w:r>
      <w:r>
        <w:rPr>
          <w:rStyle w:val="Referencafusnote"/>
          <w:rFonts w:ascii="Arial" w:hAnsi="Arial" w:cs="Arial"/>
          <w:sz w:val="24"/>
          <w:szCs w:val="24"/>
        </w:rPr>
        <w:footnoteReference w:id="121"/>
      </w:r>
      <w:r w:rsidRPr="004B7311">
        <w:t xml:space="preserve"> </w:t>
      </w:r>
      <w:r w:rsidRPr="004B7311">
        <w:rPr>
          <w:rFonts w:ascii="Arial" w:hAnsi="Arial" w:cs="Arial"/>
          <w:sz w:val="24"/>
          <w:szCs w:val="24"/>
        </w:rPr>
        <w:t xml:space="preserve">Prijavi tražbine može se priložiti popunjeni obrazac za glasovanje o </w:t>
      </w:r>
      <w:r w:rsidR="008B187A">
        <w:rPr>
          <w:rFonts w:ascii="Arial" w:hAnsi="Arial" w:cs="Arial"/>
          <w:sz w:val="24"/>
          <w:szCs w:val="24"/>
        </w:rPr>
        <w:t xml:space="preserve">prijedlogu </w:t>
      </w:r>
      <w:r w:rsidRPr="004B7311">
        <w:rPr>
          <w:rFonts w:ascii="Arial" w:hAnsi="Arial" w:cs="Arial"/>
          <w:sz w:val="24"/>
          <w:szCs w:val="24"/>
        </w:rPr>
        <w:t>plan</w:t>
      </w:r>
      <w:r w:rsidR="008B187A">
        <w:rPr>
          <w:rFonts w:ascii="Arial" w:hAnsi="Arial" w:cs="Arial"/>
          <w:sz w:val="24"/>
          <w:szCs w:val="24"/>
        </w:rPr>
        <w:t>a</w:t>
      </w:r>
      <w:r w:rsidRPr="004B7311">
        <w:rPr>
          <w:rFonts w:ascii="Arial" w:hAnsi="Arial" w:cs="Arial"/>
          <w:sz w:val="24"/>
          <w:szCs w:val="24"/>
        </w:rPr>
        <w:t xml:space="preserve"> restrukturiranja.</w:t>
      </w:r>
      <w:r>
        <w:rPr>
          <w:rStyle w:val="Referencafusnote"/>
          <w:rFonts w:ascii="Arial" w:hAnsi="Arial" w:cs="Arial"/>
          <w:sz w:val="24"/>
          <w:szCs w:val="24"/>
        </w:rPr>
        <w:footnoteReference w:id="122"/>
      </w:r>
    </w:p>
    <w:p w:rsidR="00E410F6" w:rsidRPr="000758B7" w:rsidRDefault="005F1E9E" w:rsidP="004B7311">
      <w:pPr>
        <w:autoSpaceDE w:val="0"/>
        <w:autoSpaceDN w:val="0"/>
        <w:adjustRightInd w:val="0"/>
        <w:spacing w:before="150" w:after="150" w:line="240" w:lineRule="auto"/>
        <w:ind w:firstLine="708"/>
        <w:jc w:val="both"/>
        <w:rPr>
          <w:rFonts w:ascii="Arial" w:hAnsi="Arial" w:cs="Arial"/>
          <w:sz w:val="24"/>
          <w:szCs w:val="24"/>
        </w:rPr>
      </w:pPr>
      <w:r w:rsidRPr="000758B7">
        <w:rPr>
          <w:rFonts w:ascii="Arial" w:hAnsi="Arial" w:cs="Arial"/>
          <w:sz w:val="24"/>
          <w:szCs w:val="24"/>
        </w:rPr>
        <w:t xml:space="preserve">Ako je </w:t>
      </w:r>
      <w:proofErr w:type="spellStart"/>
      <w:r w:rsidRPr="000758B7">
        <w:rPr>
          <w:rFonts w:ascii="Arial" w:hAnsi="Arial" w:cs="Arial"/>
          <w:sz w:val="24"/>
          <w:szCs w:val="24"/>
        </w:rPr>
        <w:t>predstečajni</w:t>
      </w:r>
      <w:proofErr w:type="spellEnd"/>
      <w:r w:rsidRPr="000758B7">
        <w:rPr>
          <w:rFonts w:ascii="Arial" w:hAnsi="Arial" w:cs="Arial"/>
          <w:sz w:val="24"/>
          <w:szCs w:val="24"/>
        </w:rPr>
        <w:t xml:space="preserve"> dužnik pojedinac, vjerovnici prijavljuju samo tražbine proizašle iz obavljanja djelatnosti ili vezane uz</w:t>
      </w:r>
      <w:r w:rsidR="00143499" w:rsidRPr="000758B7">
        <w:rPr>
          <w:rFonts w:ascii="Arial" w:hAnsi="Arial" w:cs="Arial"/>
          <w:sz w:val="24"/>
          <w:szCs w:val="24"/>
        </w:rPr>
        <w:t xml:space="preserve"> obavljanje djelatnosti dužnika, a ne i one tražbine koje su nastale prema dužniku izvan njegove poslovne djelatnosti (na primjer: tražbina s osnove izdržavanja).</w:t>
      </w:r>
      <w:r w:rsidR="00C66CB2" w:rsidRPr="000758B7">
        <w:rPr>
          <w:rStyle w:val="Referencafusnote"/>
          <w:rFonts w:ascii="Arial" w:hAnsi="Arial" w:cs="Arial"/>
          <w:sz w:val="24"/>
          <w:szCs w:val="24"/>
        </w:rPr>
        <w:footnoteReference w:id="123"/>
      </w:r>
    </w:p>
    <w:p w:rsidR="00283C2A" w:rsidRPr="000758B7" w:rsidRDefault="004F3C7B" w:rsidP="00965605">
      <w:pPr>
        <w:autoSpaceDE w:val="0"/>
        <w:autoSpaceDN w:val="0"/>
        <w:adjustRightInd w:val="0"/>
        <w:spacing w:before="120" w:after="120" w:line="240" w:lineRule="auto"/>
        <w:jc w:val="both"/>
        <w:rPr>
          <w:rFonts w:ascii="Arial" w:hAnsi="Arial" w:cs="Arial"/>
          <w:sz w:val="24"/>
          <w:szCs w:val="24"/>
        </w:rPr>
      </w:pPr>
      <w:r w:rsidRPr="000758B7">
        <w:rPr>
          <w:rFonts w:ascii="Arial" w:hAnsi="Arial" w:cs="Arial"/>
          <w:sz w:val="24"/>
          <w:szCs w:val="24"/>
        </w:rPr>
        <w:tab/>
      </w:r>
      <w:r w:rsidR="00893F5A" w:rsidRPr="000758B7">
        <w:rPr>
          <w:rFonts w:ascii="Arial" w:hAnsi="Arial" w:cs="Arial"/>
          <w:sz w:val="24"/>
          <w:szCs w:val="24"/>
        </w:rPr>
        <w:t>P</w:t>
      </w:r>
      <w:r w:rsidR="005F1E9E" w:rsidRPr="000758B7">
        <w:rPr>
          <w:rFonts w:ascii="Arial" w:hAnsi="Arial" w:cs="Arial"/>
          <w:sz w:val="24"/>
          <w:szCs w:val="24"/>
        </w:rPr>
        <w:t>rijav</w:t>
      </w:r>
      <w:r w:rsidR="00893F5A" w:rsidRPr="000758B7">
        <w:rPr>
          <w:rFonts w:ascii="Arial" w:hAnsi="Arial" w:cs="Arial"/>
          <w:sz w:val="24"/>
          <w:szCs w:val="24"/>
        </w:rPr>
        <w:t>u</w:t>
      </w:r>
      <w:r w:rsidR="005F1E9E" w:rsidRPr="000758B7">
        <w:rPr>
          <w:rFonts w:ascii="Arial" w:hAnsi="Arial" w:cs="Arial"/>
          <w:sz w:val="24"/>
          <w:szCs w:val="24"/>
        </w:rPr>
        <w:t xml:space="preserve"> tražbina podnesen</w:t>
      </w:r>
      <w:r w:rsidR="00893F5A" w:rsidRPr="000758B7">
        <w:rPr>
          <w:rFonts w:ascii="Arial" w:hAnsi="Arial" w:cs="Arial"/>
          <w:sz w:val="24"/>
          <w:szCs w:val="24"/>
        </w:rPr>
        <w:t>u</w:t>
      </w:r>
      <w:r w:rsidR="005F1E9E" w:rsidRPr="000758B7">
        <w:rPr>
          <w:rFonts w:ascii="Arial" w:hAnsi="Arial" w:cs="Arial"/>
          <w:sz w:val="24"/>
          <w:szCs w:val="24"/>
        </w:rPr>
        <w:t xml:space="preserve"> nakon isteka roka za prijavu sud će odbaciti rješenjem</w:t>
      </w:r>
      <w:r w:rsidR="00893F5A" w:rsidRPr="000758B7">
        <w:rPr>
          <w:rStyle w:val="Referencafusnote"/>
          <w:rFonts w:ascii="Arial" w:hAnsi="Arial" w:cs="Arial"/>
          <w:sz w:val="24"/>
          <w:szCs w:val="24"/>
        </w:rPr>
        <w:footnoteReference w:id="124"/>
      </w:r>
      <w:r w:rsidR="005F1E9E" w:rsidRPr="000758B7">
        <w:rPr>
          <w:rFonts w:ascii="Arial" w:hAnsi="Arial" w:cs="Arial"/>
          <w:sz w:val="24"/>
          <w:szCs w:val="24"/>
        </w:rPr>
        <w:t>.</w:t>
      </w:r>
    </w:p>
    <w:p w:rsidR="00004CF0" w:rsidRPr="000758B7" w:rsidRDefault="00965605" w:rsidP="00965605">
      <w:pPr>
        <w:autoSpaceDE w:val="0"/>
        <w:autoSpaceDN w:val="0"/>
        <w:adjustRightInd w:val="0"/>
        <w:spacing w:before="120" w:after="120" w:line="240" w:lineRule="auto"/>
        <w:jc w:val="both"/>
        <w:rPr>
          <w:rFonts w:ascii="Arial" w:hAnsi="Arial" w:cs="Arial"/>
          <w:sz w:val="24"/>
          <w:szCs w:val="24"/>
        </w:rPr>
      </w:pPr>
      <w:r w:rsidRPr="000758B7">
        <w:rPr>
          <w:rFonts w:ascii="Arial" w:hAnsi="Arial" w:cs="Arial"/>
          <w:sz w:val="24"/>
          <w:szCs w:val="24"/>
        </w:rPr>
        <w:lastRenderedPageBreak/>
        <w:tab/>
      </w:r>
      <w:r w:rsidRPr="000758B7">
        <w:rPr>
          <w:rFonts w:ascii="Arial" w:hAnsi="Arial" w:cs="Arial"/>
          <w:sz w:val="24"/>
          <w:szCs w:val="24"/>
          <w:lang w:val="x-none"/>
        </w:rPr>
        <w:t xml:space="preserve">Ako vjerovnik nije podnio prijavu tražbine, a </w:t>
      </w:r>
      <w:r w:rsidR="00F357C0" w:rsidRPr="000758B7">
        <w:rPr>
          <w:rFonts w:ascii="Arial" w:hAnsi="Arial" w:cs="Arial"/>
          <w:sz w:val="24"/>
          <w:szCs w:val="24"/>
        </w:rPr>
        <w:t xml:space="preserve">njegova </w:t>
      </w:r>
      <w:r w:rsidRPr="000758B7">
        <w:rPr>
          <w:rFonts w:ascii="Arial" w:hAnsi="Arial" w:cs="Arial"/>
          <w:sz w:val="24"/>
          <w:szCs w:val="24"/>
          <w:lang w:val="x-none"/>
        </w:rPr>
        <w:t>tražbina je navedena u prijed</w:t>
      </w:r>
      <w:r w:rsidR="00EA5BE0">
        <w:rPr>
          <w:rFonts w:ascii="Arial" w:hAnsi="Arial" w:cs="Arial"/>
          <w:sz w:val="24"/>
          <w:szCs w:val="24"/>
          <w:lang w:val="x-none"/>
        </w:rPr>
        <w:t xml:space="preserve">logu za otvaranje </w:t>
      </w:r>
      <w:proofErr w:type="spellStart"/>
      <w:r w:rsidR="00EA5BE0">
        <w:rPr>
          <w:rFonts w:ascii="Arial" w:hAnsi="Arial" w:cs="Arial"/>
          <w:sz w:val="24"/>
          <w:szCs w:val="24"/>
          <w:lang w:val="x-none"/>
        </w:rPr>
        <w:t>predstečajnog</w:t>
      </w:r>
      <w:proofErr w:type="spellEnd"/>
      <w:r w:rsidRPr="000758B7">
        <w:rPr>
          <w:rFonts w:ascii="Arial" w:hAnsi="Arial" w:cs="Arial"/>
          <w:sz w:val="24"/>
          <w:szCs w:val="24"/>
          <w:lang w:val="x-none"/>
        </w:rPr>
        <w:t xml:space="preserve"> postupka, </w:t>
      </w:r>
      <w:r w:rsidR="00F357C0" w:rsidRPr="000758B7">
        <w:rPr>
          <w:rFonts w:ascii="Arial" w:hAnsi="Arial" w:cs="Arial"/>
          <w:sz w:val="24"/>
          <w:szCs w:val="24"/>
        </w:rPr>
        <w:t xml:space="preserve">tražbina se smatra </w:t>
      </w:r>
      <w:r w:rsidRPr="000758B7">
        <w:rPr>
          <w:rFonts w:ascii="Arial" w:hAnsi="Arial" w:cs="Arial"/>
          <w:sz w:val="24"/>
          <w:szCs w:val="24"/>
          <w:lang w:val="x-none"/>
        </w:rPr>
        <w:t>prijavljenom</w:t>
      </w:r>
      <w:r w:rsidR="00F357C0" w:rsidRPr="000758B7">
        <w:rPr>
          <w:rFonts w:ascii="Arial" w:hAnsi="Arial" w:cs="Arial"/>
          <w:sz w:val="24"/>
          <w:szCs w:val="24"/>
        </w:rPr>
        <w:t>.</w:t>
      </w:r>
      <w:r w:rsidR="008C2690" w:rsidRPr="000758B7">
        <w:rPr>
          <w:rFonts w:ascii="Arial" w:hAnsi="Arial" w:cs="Arial"/>
          <w:sz w:val="24"/>
          <w:szCs w:val="24"/>
        </w:rPr>
        <w:t xml:space="preserve"> </w:t>
      </w:r>
      <w:r w:rsidR="003C49AF" w:rsidRPr="000758B7">
        <w:rPr>
          <w:rFonts w:ascii="Arial" w:hAnsi="Arial" w:cs="Arial"/>
          <w:sz w:val="24"/>
          <w:szCs w:val="24"/>
        </w:rPr>
        <w:t xml:space="preserve">Nije isključeno </w:t>
      </w:r>
      <w:r w:rsidR="00CF1A98" w:rsidRPr="000758B7">
        <w:rPr>
          <w:rFonts w:ascii="Arial" w:hAnsi="Arial" w:cs="Arial"/>
          <w:sz w:val="24"/>
          <w:szCs w:val="24"/>
        </w:rPr>
        <w:t>da vjerovnik prijavi tražbinu koj</w:t>
      </w:r>
      <w:r w:rsidR="00C66CB2" w:rsidRPr="000758B7">
        <w:rPr>
          <w:rFonts w:ascii="Arial" w:hAnsi="Arial" w:cs="Arial"/>
          <w:sz w:val="24"/>
          <w:szCs w:val="24"/>
        </w:rPr>
        <w:t>a</w:t>
      </w:r>
      <w:r w:rsidR="00CF1A98" w:rsidRPr="000758B7">
        <w:rPr>
          <w:rFonts w:ascii="Arial" w:hAnsi="Arial" w:cs="Arial"/>
          <w:sz w:val="24"/>
          <w:szCs w:val="24"/>
        </w:rPr>
        <w:t xml:space="preserve"> je nave</w:t>
      </w:r>
      <w:r w:rsidR="00C66CB2" w:rsidRPr="000758B7">
        <w:rPr>
          <w:rFonts w:ascii="Arial" w:hAnsi="Arial" w:cs="Arial"/>
          <w:sz w:val="24"/>
          <w:szCs w:val="24"/>
        </w:rPr>
        <w:t>dena</w:t>
      </w:r>
      <w:r w:rsidR="00CF1A98" w:rsidRPr="000758B7">
        <w:rPr>
          <w:rFonts w:ascii="Arial" w:hAnsi="Arial" w:cs="Arial"/>
          <w:sz w:val="24"/>
          <w:szCs w:val="24"/>
        </w:rPr>
        <w:t xml:space="preserve"> </w:t>
      </w:r>
      <w:r w:rsidR="00F357C0" w:rsidRPr="000758B7">
        <w:rPr>
          <w:rFonts w:ascii="Arial" w:hAnsi="Arial" w:cs="Arial"/>
          <w:sz w:val="24"/>
          <w:szCs w:val="24"/>
        </w:rPr>
        <w:t>u prij</w:t>
      </w:r>
      <w:r w:rsidR="003C49AF" w:rsidRPr="000758B7">
        <w:rPr>
          <w:rFonts w:ascii="Arial" w:hAnsi="Arial" w:cs="Arial"/>
          <w:sz w:val="24"/>
          <w:szCs w:val="24"/>
        </w:rPr>
        <w:t xml:space="preserve">edlogu za otvaranje </w:t>
      </w:r>
      <w:proofErr w:type="spellStart"/>
      <w:r w:rsidR="003C49AF" w:rsidRPr="000758B7">
        <w:rPr>
          <w:rFonts w:ascii="Arial" w:hAnsi="Arial" w:cs="Arial"/>
          <w:sz w:val="24"/>
          <w:szCs w:val="24"/>
        </w:rPr>
        <w:t>predstečajnog</w:t>
      </w:r>
      <w:proofErr w:type="spellEnd"/>
      <w:r w:rsidR="003C49AF" w:rsidRPr="000758B7">
        <w:rPr>
          <w:rFonts w:ascii="Arial" w:hAnsi="Arial" w:cs="Arial"/>
          <w:sz w:val="24"/>
          <w:szCs w:val="24"/>
        </w:rPr>
        <w:t xml:space="preserve"> postupka</w:t>
      </w:r>
      <w:r w:rsidR="00CF1A98" w:rsidRPr="000758B7">
        <w:rPr>
          <w:rFonts w:ascii="Arial" w:hAnsi="Arial" w:cs="Arial"/>
          <w:sz w:val="24"/>
          <w:szCs w:val="24"/>
        </w:rPr>
        <w:t xml:space="preserve">. </w:t>
      </w:r>
      <w:r w:rsidR="00C66CB2" w:rsidRPr="000758B7">
        <w:rPr>
          <w:rFonts w:ascii="Arial" w:hAnsi="Arial" w:cs="Arial"/>
          <w:sz w:val="24"/>
          <w:szCs w:val="24"/>
        </w:rPr>
        <w:t>Ako je</w:t>
      </w:r>
      <w:r w:rsidR="003C49AF" w:rsidRPr="000758B7">
        <w:rPr>
          <w:rFonts w:ascii="Arial" w:hAnsi="Arial" w:cs="Arial"/>
          <w:sz w:val="24"/>
          <w:szCs w:val="24"/>
        </w:rPr>
        <w:t xml:space="preserve"> </w:t>
      </w:r>
      <w:r w:rsidR="00C66CB2" w:rsidRPr="000758B7">
        <w:rPr>
          <w:rFonts w:ascii="Arial" w:hAnsi="Arial" w:cs="Arial"/>
          <w:sz w:val="24"/>
          <w:szCs w:val="24"/>
        </w:rPr>
        <w:t xml:space="preserve">prijavljena </w:t>
      </w:r>
      <w:r w:rsidR="003C49AF" w:rsidRPr="000758B7">
        <w:rPr>
          <w:rFonts w:ascii="Arial" w:hAnsi="Arial" w:cs="Arial"/>
          <w:sz w:val="24"/>
          <w:szCs w:val="24"/>
        </w:rPr>
        <w:t>tražbin</w:t>
      </w:r>
      <w:r w:rsidR="00C66CB2" w:rsidRPr="000758B7">
        <w:rPr>
          <w:rFonts w:ascii="Arial" w:hAnsi="Arial" w:cs="Arial"/>
          <w:sz w:val="24"/>
          <w:szCs w:val="24"/>
        </w:rPr>
        <w:t>a</w:t>
      </w:r>
      <w:r w:rsidR="003C49AF" w:rsidRPr="000758B7">
        <w:rPr>
          <w:rFonts w:ascii="Arial" w:hAnsi="Arial" w:cs="Arial"/>
          <w:sz w:val="24"/>
          <w:szCs w:val="24"/>
        </w:rPr>
        <w:t xml:space="preserve"> </w:t>
      </w:r>
      <w:r w:rsidR="00C66CB2" w:rsidRPr="000758B7">
        <w:rPr>
          <w:rFonts w:ascii="Arial" w:hAnsi="Arial" w:cs="Arial"/>
          <w:sz w:val="24"/>
          <w:szCs w:val="24"/>
        </w:rPr>
        <w:t>navedena u prijedlogu</w:t>
      </w:r>
      <w:r w:rsidR="00072599">
        <w:rPr>
          <w:rFonts w:ascii="Arial" w:hAnsi="Arial" w:cs="Arial"/>
          <w:sz w:val="24"/>
          <w:szCs w:val="24"/>
        </w:rPr>
        <w:t xml:space="preserve">, a </w:t>
      </w:r>
      <w:r w:rsidR="00C66CB2" w:rsidRPr="000758B7">
        <w:rPr>
          <w:rFonts w:ascii="Arial" w:hAnsi="Arial" w:cs="Arial"/>
          <w:sz w:val="24"/>
          <w:szCs w:val="24"/>
        </w:rPr>
        <w:t>tražbin</w:t>
      </w:r>
      <w:r w:rsidR="00072599">
        <w:rPr>
          <w:rFonts w:ascii="Arial" w:hAnsi="Arial" w:cs="Arial"/>
          <w:sz w:val="24"/>
          <w:szCs w:val="24"/>
        </w:rPr>
        <w:t>u</w:t>
      </w:r>
      <w:r w:rsidR="003C49AF" w:rsidRPr="000758B7">
        <w:rPr>
          <w:rFonts w:ascii="Arial" w:hAnsi="Arial" w:cs="Arial"/>
          <w:sz w:val="24"/>
          <w:szCs w:val="24"/>
        </w:rPr>
        <w:t xml:space="preserve"> </w:t>
      </w:r>
      <w:r w:rsidR="00072599">
        <w:rPr>
          <w:rFonts w:ascii="Arial" w:hAnsi="Arial" w:cs="Arial"/>
          <w:sz w:val="24"/>
          <w:szCs w:val="24"/>
        </w:rPr>
        <w:t>prijavi i vjerovnik</w:t>
      </w:r>
      <w:r w:rsidR="003C49AF" w:rsidRPr="000758B7">
        <w:rPr>
          <w:rFonts w:ascii="Arial" w:hAnsi="Arial" w:cs="Arial"/>
          <w:sz w:val="24"/>
          <w:szCs w:val="24"/>
        </w:rPr>
        <w:t>u istom iznosu</w:t>
      </w:r>
      <w:r w:rsidR="00696968" w:rsidRPr="000758B7">
        <w:rPr>
          <w:rFonts w:ascii="Arial" w:hAnsi="Arial" w:cs="Arial"/>
          <w:sz w:val="24"/>
          <w:szCs w:val="24"/>
        </w:rPr>
        <w:t>,</w:t>
      </w:r>
      <w:r w:rsidR="003C49AF" w:rsidRPr="000758B7">
        <w:rPr>
          <w:rFonts w:ascii="Arial" w:hAnsi="Arial" w:cs="Arial"/>
          <w:sz w:val="24"/>
          <w:szCs w:val="24"/>
        </w:rPr>
        <w:t xml:space="preserve"> </w:t>
      </w:r>
      <w:r w:rsidR="00696968" w:rsidRPr="000758B7">
        <w:rPr>
          <w:rFonts w:ascii="Arial" w:hAnsi="Arial" w:cs="Arial"/>
          <w:sz w:val="24"/>
          <w:szCs w:val="24"/>
        </w:rPr>
        <w:t>tražbina će biti priznata. Ako je vjerovnik prijavio tražbinu u višem iznosu, dužnik i povjerenik se mogu očitovati</w:t>
      </w:r>
      <w:r w:rsidR="00F357C0" w:rsidRPr="000758B7">
        <w:rPr>
          <w:rFonts w:ascii="Arial" w:hAnsi="Arial" w:cs="Arial"/>
          <w:sz w:val="24"/>
          <w:szCs w:val="24"/>
        </w:rPr>
        <w:t xml:space="preserve"> </w:t>
      </w:r>
      <w:r w:rsidR="00696968" w:rsidRPr="000758B7">
        <w:rPr>
          <w:rFonts w:ascii="Arial" w:hAnsi="Arial" w:cs="Arial"/>
          <w:sz w:val="24"/>
          <w:szCs w:val="24"/>
        </w:rPr>
        <w:t xml:space="preserve">o </w:t>
      </w:r>
      <w:r w:rsidR="00C66CB2" w:rsidRPr="000758B7">
        <w:rPr>
          <w:rFonts w:ascii="Arial" w:hAnsi="Arial" w:cs="Arial"/>
          <w:sz w:val="24"/>
          <w:szCs w:val="24"/>
        </w:rPr>
        <w:t xml:space="preserve">prijavljenoj </w:t>
      </w:r>
      <w:r w:rsidR="00696968" w:rsidRPr="000758B7">
        <w:rPr>
          <w:rFonts w:ascii="Arial" w:hAnsi="Arial" w:cs="Arial"/>
          <w:sz w:val="24"/>
          <w:szCs w:val="24"/>
        </w:rPr>
        <w:t>tražbin</w:t>
      </w:r>
      <w:r w:rsidR="00262AEE" w:rsidRPr="000758B7">
        <w:rPr>
          <w:rFonts w:ascii="Arial" w:hAnsi="Arial" w:cs="Arial"/>
          <w:sz w:val="24"/>
          <w:szCs w:val="24"/>
        </w:rPr>
        <w:t>i</w:t>
      </w:r>
      <w:r w:rsidR="00696968" w:rsidRPr="000758B7">
        <w:rPr>
          <w:rFonts w:ascii="Arial" w:hAnsi="Arial" w:cs="Arial"/>
          <w:sz w:val="24"/>
          <w:szCs w:val="24"/>
        </w:rPr>
        <w:t xml:space="preserve"> te će FINA sastaviti tablicu prijavljenih i osporenih tražbina. </w:t>
      </w:r>
      <w:r w:rsidR="00004CF0" w:rsidRPr="000758B7">
        <w:rPr>
          <w:rFonts w:ascii="Arial" w:hAnsi="Arial" w:cs="Arial"/>
          <w:sz w:val="24"/>
          <w:szCs w:val="24"/>
        </w:rPr>
        <w:t>Moguće je da</w:t>
      </w:r>
      <w:r w:rsidR="00696968" w:rsidRPr="000758B7">
        <w:rPr>
          <w:rFonts w:ascii="Arial" w:hAnsi="Arial" w:cs="Arial"/>
          <w:sz w:val="24"/>
          <w:szCs w:val="24"/>
        </w:rPr>
        <w:t xml:space="preserve"> </w:t>
      </w:r>
      <w:r w:rsidR="00C66CB2" w:rsidRPr="000758B7">
        <w:rPr>
          <w:rFonts w:ascii="Arial" w:hAnsi="Arial" w:cs="Arial"/>
          <w:sz w:val="24"/>
          <w:szCs w:val="24"/>
        </w:rPr>
        <w:t xml:space="preserve">je </w:t>
      </w:r>
      <w:r w:rsidR="00696968" w:rsidRPr="000758B7">
        <w:rPr>
          <w:rFonts w:ascii="Arial" w:hAnsi="Arial" w:cs="Arial"/>
          <w:sz w:val="24"/>
          <w:szCs w:val="24"/>
        </w:rPr>
        <w:t>vjerovnik prijavi</w:t>
      </w:r>
      <w:r w:rsidR="00C66CB2" w:rsidRPr="000758B7">
        <w:rPr>
          <w:rFonts w:ascii="Arial" w:hAnsi="Arial" w:cs="Arial"/>
          <w:sz w:val="24"/>
          <w:szCs w:val="24"/>
        </w:rPr>
        <w:t>o</w:t>
      </w:r>
      <w:r w:rsidR="00696968" w:rsidRPr="000758B7">
        <w:rPr>
          <w:rFonts w:ascii="Arial" w:hAnsi="Arial" w:cs="Arial"/>
          <w:sz w:val="24"/>
          <w:szCs w:val="24"/>
        </w:rPr>
        <w:t xml:space="preserve"> tražbinu </w:t>
      </w:r>
      <w:r w:rsidR="00F357C0" w:rsidRPr="000758B7">
        <w:rPr>
          <w:rFonts w:ascii="Arial" w:hAnsi="Arial" w:cs="Arial"/>
          <w:sz w:val="24"/>
          <w:szCs w:val="24"/>
        </w:rPr>
        <w:t>u manjem iznosu od iznosa koji je nave</w:t>
      </w:r>
      <w:r w:rsidR="00C66CB2" w:rsidRPr="000758B7">
        <w:rPr>
          <w:rFonts w:ascii="Arial" w:hAnsi="Arial" w:cs="Arial"/>
          <w:sz w:val="24"/>
          <w:szCs w:val="24"/>
        </w:rPr>
        <w:t xml:space="preserve">den u prijedlogu odnosno popisu </w:t>
      </w:r>
      <w:r w:rsidR="00F357C0" w:rsidRPr="000758B7">
        <w:rPr>
          <w:rFonts w:ascii="Arial" w:hAnsi="Arial" w:cs="Arial"/>
          <w:sz w:val="24"/>
          <w:szCs w:val="24"/>
        </w:rPr>
        <w:t>dužnik</w:t>
      </w:r>
      <w:r w:rsidR="00C66CB2" w:rsidRPr="000758B7">
        <w:rPr>
          <w:rFonts w:ascii="Arial" w:hAnsi="Arial" w:cs="Arial"/>
          <w:sz w:val="24"/>
          <w:szCs w:val="24"/>
        </w:rPr>
        <w:t>ovih</w:t>
      </w:r>
      <w:r w:rsidR="00556CDF" w:rsidRPr="000758B7">
        <w:rPr>
          <w:rFonts w:ascii="Arial" w:hAnsi="Arial" w:cs="Arial"/>
          <w:sz w:val="24"/>
          <w:szCs w:val="24"/>
        </w:rPr>
        <w:t xml:space="preserve"> obveza</w:t>
      </w:r>
      <w:r w:rsidR="00F357C0" w:rsidRPr="000758B7">
        <w:rPr>
          <w:rFonts w:ascii="Arial" w:hAnsi="Arial" w:cs="Arial"/>
          <w:sz w:val="24"/>
          <w:szCs w:val="24"/>
        </w:rPr>
        <w:t xml:space="preserve">. </w:t>
      </w:r>
      <w:r w:rsidR="003C49AF" w:rsidRPr="000758B7">
        <w:rPr>
          <w:rFonts w:ascii="Arial" w:hAnsi="Arial" w:cs="Arial"/>
          <w:sz w:val="24"/>
          <w:szCs w:val="24"/>
        </w:rPr>
        <w:t>U tom slučaju tražbina se smatra prijavljenom u iznosu koji je naveo dužnik.</w:t>
      </w:r>
      <w:r w:rsidR="00696968" w:rsidRPr="000758B7">
        <w:rPr>
          <w:rFonts w:ascii="Arial" w:hAnsi="Arial" w:cs="Arial"/>
          <w:sz w:val="24"/>
          <w:szCs w:val="24"/>
        </w:rPr>
        <w:t xml:space="preserve"> </w:t>
      </w:r>
      <w:r w:rsidR="00C66CB2" w:rsidRPr="000758B7">
        <w:rPr>
          <w:rFonts w:ascii="Arial" w:hAnsi="Arial" w:cs="Arial"/>
          <w:sz w:val="24"/>
          <w:szCs w:val="24"/>
        </w:rPr>
        <w:t>Problem može nastati a</w:t>
      </w:r>
      <w:r w:rsidR="00004CF0" w:rsidRPr="000758B7">
        <w:rPr>
          <w:rFonts w:ascii="Arial" w:hAnsi="Arial" w:cs="Arial"/>
          <w:sz w:val="24"/>
          <w:szCs w:val="24"/>
        </w:rPr>
        <w:t>ko v</w:t>
      </w:r>
      <w:r w:rsidR="00696968" w:rsidRPr="000758B7">
        <w:rPr>
          <w:rFonts w:ascii="Arial" w:hAnsi="Arial" w:cs="Arial"/>
          <w:sz w:val="24"/>
          <w:szCs w:val="24"/>
        </w:rPr>
        <w:t xml:space="preserve">jerovnik ima </w:t>
      </w:r>
      <w:r w:rsidR="00004CF0" w:rsidRPr="000758B7">
        <w:rPr>
          <w:rFonts w:ascii="Arial" w:hAnsi="Arial" w:cs="Arial"/>
          <w:sz w:val="24"/>
          <w:szCs w:val="24"/>
        </w:rPr>
        <w:t xml:space="preserve">interes </w:t>
      </w:r>
      <w:r w:rsidR="00696968" w:rsidRPr="000758B7">
        <w:rPr>
          <w:rFonts w:ascii="Arial" w:hAnsi="Arial" w:cs="Arial"/>
          <w:sz w:val="24"/>
          <w:szCs w:val="24"/>
        </w:rPr>
        <w:t xml:space="preserve">da njegova tražbina bude utvrđena u manjem iznosu od iznosa koji je naveo dužnik. </w:t>
      </w:r>
      <w:r w:rsidR="003E078A" w:rsidRPr="000758B7">
        <w:rPr>
          <w:rFonts w:ascii="Arial" w:hAnsi="Arial" w:cs="Arial"/>
          <w:sz w:val="24"/>
          <w:szCs w:val="24"/>
        </w:rPr>
        <w:t xml:space="preserve">Zakon </w:t>
      </w:r>
      <w:r w:rsidR="00C66CB2" w:rsidRPr="000758B7">
        <w:rPr>
          <w:rFonts w:ascii="Arial" w:hAnsi="Arial" w:cs="Arial"/>
          <w:sz w:val="24"/>
          <w:szCs w:val="24"/>
        </w:rPr>
        <w:t xml:space="preserve">ne dopušta </w:t>
      </w:r>
      <w:r w:rsidR="003E078A" w:rsidRPr="000758B7">
        <w:rPr>
          <w:rFonts w:ascii="Arial" w:hAnsi="Arial" w:cs="Arial"/>
          <w:sz w:val="24"/>
          <w:szCs w:val="24"/>
        </w:rPr>
        <w:t>vjerovniku da ospor</w:t>
      </w:r>
      <w:r w:rsidR="00004CF0" w:rsidRPr="000758B7">
        <w:rPr>
          <w:rFonts w:ascii="Arial" w:hAnsi="Arial" w:cs="Arial"/>
          <w:sz w:val="24"/>
          <w:szCs w:val="24"/>
        </w:rPr>
        <w:t>i</w:t>
      </w:r>
      <w:r w:rsidR="00C66CB2" w:rsidRPr="000758B7">
        <w:rPr>
          <w:rFonts w:ascii="Arial" w:hAnsi="Arial" w:cs="Arial"/>
          <w:sz w:val="24"/>
          <w:szCs w:val="24"/>
        </w:rPr>
        <w:t xml:space="preserve"> svoju tražbinu koja</w:t>
      </w:r>
      <w:r w:rsidR="003E078A" w:rsidRPr="000758B7">
        <w:rPr>
          <w:rFonts w:ascii="Arial" w:hAnsi="Arial" w:cs="Arial"/>
          <w:sz w:val="24"/>
          <w:szCs w:val="24"/>
        </w:rPr>
        <w:t xml:space="preserve"> je </w:t>
      </w:r>
      <w:r w:rsidR="00C66CB2" w:rsidRPr="000758B7">
        <w:rPr>
          <w:rFonts w:ascii="Arial" w:hAnsi="Arial" w:cs="Arial"/>
          <w:sz w:val="24"/>
          <w:szCs w:val="24"/>
        </w:rPr>
        <w:t>navedena u prijedlogu</w:t>
      </w:r>
      <w:r w:rsidR="003E078A" w:rsidRPr="000758B7">
        <w:rPr>
          <w:rFonts w:ascii="Arial" w:hAnsi="Arial" w:cs="Arial"/>
          <w:sz w:val="24"/>
          <w:szCs w:val="24"/>
        </w:rPr>
        <w:t xml:space="preserve">. </w:t>
      </w:r>
      <w:r w:rsidR="00C66CB2" w:rsidRPr="000758B7">
        <w:rPr>
          <w:rFonts w:ascii="Arial" w:hAnsi="Arial" w:cs="Arial"/>
          <w:sz w:val="24"/>
          <w:szCs w:val="24"/>
        </w:rPr>
        <w:t>Ako tražb</w:t>
      </w:r>
      <w:r w:rsidR="000F371F" w:rsidRPr="000758B7">
        <w:rPr>
          <w:rFonts w:ascii="Arial" w:hAnsi="Arial" w:cs="Arial"/>
          <w:sz w:val="24"/>
          <w:szCs w:val="24"/>
        </w:rPr>
        <w:t xml:space="preserve">inu ne ospori povjerenik, dužnik ili netko od vjerovnika u roku za osporavanje tražbine, </w:t>
      </w:r>
      <w:r w:rsidR="00004CF0" w:rsidRPr="000758B7">
        <w:rPr>
          <w:rFonts w:ascii="Arial" w:hAnsi="Arial" w:cs="Arial"/>
          <w:sz w:val="24"/>
          <w:szCs w:val="24"/>
        </w:rPr>
        <w:t xml:space="preserve">tražbina </w:t>
      </w:r>
      <w:r w:rsidR="000F371F" w:rsidRPr="000758B7">
        <w:rPr>
          <w:rFonts w:ascii="Arial" w:hAnsi="Arial" w:cs="Arial"/>
          <w:sz w:val="24"/>
          <w:szCs w:val="24"/>
        </w:rPr>
        <w:t>se</w:t>
      </w:r>
      <w:r w:rsidR="00004CF0" w:rsidRPr="000758B7">
        <w:rPr>
          <w:rFonts w:ascii="Arial" w:hAnsi="Arial" w:cs="Arial"/>
          <w:sz w:val="24"/>
          <w:szCs w:val="24"/>
        </w:rPr>
        <w:t xml:space="preserve"> smatra utvrđenom</w:t>
      </w:r>
      <w:r w:rsidR="00004CF0" w:rsidRPr="000758B7">
        <w:rPr>
          <w:rStyle w:val="Referencafusnote"/>
          <w:rFonts w:ascii="Arial" w:hAnsi="Arial" w:cs="Arial"/>
          <w:sz w:val="24"/>
          <w:szCs w:val="24"/>
        </w:rPr>
        <w:footnoteReference w:id="125"/>
      </w:r>
      <w:r w:rsidR="00004CF0" w:rsidRPr="000758B7">
        <w:rPr>
          <w:rFonts w:ascii="Arial" w:hAnsi="Arial" w:cs="Arial"/>
          <w:sz w:val="24"/>
          <w:szCs w:val="24"/>
        </w:rPr>
        <w:t xml:space="preserve">. </w:t>
      </w:r>
      <w:r w:rsidR="000F371F" w:rsidRPr="000758B7">
        <w:rPr>
          <w:rFonts w:ascii="Arial" w:hAnsi="Arial" w:cs="Arial"/>
          <w:sz w:val="24"/>
          <w:szCs w:val="24"/>
        </w:rPr>
        <w:t>Držimo da i vj</w:t>
      </w:r>
      <w:r w:rsidR="00004CF0" w:rsidRPr="000758B7">
        <w:rPr>
          <w:rFonts w:ascii="Arial" w:hAnsi="Arial" w:cs="Arial"/>
          <w:sz w:val="24"/>
          <w:szCs w:val="24"/>
        </w:rPr>
        <w:t>erovnik</w:t>
      </w:r>
      <w:r w:rsidR="000F371F" w:rsidRPr="000758B7">
        <w:rPr>
          <w:rFonts w:ascii="Arial" w:hAnsi="Arial" w:cs="Arial"/>
          <w:sz w:val="24"/>
          <w:szCs w:val="24"/>
        </w:rPr>
        <w:t>u</w:t>
      </w:r>
      <w:r w:rsidR="00004CF0" w:rsidRPr="000758B7">
        <w:rPr>
          <w:rFonts w:ascii="Arial" w:hAnsi="Arial" w:cs="Arial"/>
          <w:sz w:val="24"/>
          <w:szCs w:val="24"/>
        </w:rPr>
        <w:t xml:space="preserve"> </w:t>
      </w:r>
      <w:r w:rsidR="000F371F" w:rsidRPr="000758B7">
        <w:rPr>
          <w:rFonts w:ascii="Arial" w:hAnsi="Arial" w:cs="Arial"/>
          <w:sz w:val="24"/>
          <w:szCs w:val="24"/>
        </w:rPr>
        <w:t xml:space="preserve">o čijoj je tražbini riječ treba dati mogućnost da ospori dio svoje tražbine koju je naveo dužnik uz </w:t>
      </w:r>
      <w:r w:rsidR="00CD4E70" w:rsidRPr="000758B7">
        <w:rPr>
          <w:rFonts w:ascii="Arial" w:hAnsi="Arial" w:cs="Arial"/>
          <w:sz w:val="24"/>
          <w:szCs w:val="24"/>
        </w:rPr>
        <w:t>iz</w:t>
      </w:r>
      <w:r w:rsidR="000F371F" w:rsidRPr="000758B7">
        <w:rPr>
          <w:rFonts w:ascii="Arial" w:hAnsi="Arial" w:cs="Arial"/>
          <w:sz w:val="24"/>
          <w:szCs w:val="24"/>
        </w:rPr>
        <w:t xml:space="preserve">nošenje </w:t>
      </w:r>
      <w:r w:rsidR="00CD4E70" w:rsidRPr="000758B7">
        <w:rPr>
          <w:rFonts w:ascii="Arial" w:hAnsi="Arial" w:cs="Arial"/>
          <w:sz w:val="24"/>
          <w:szCs w:val="24"/>
        </w:rPr>
        <w:t>razlog</w:t>
      </w:r>
      <w:r w:rsidR="000F371F" w:rsidRPr="000758B7">
        <w:rPr>
          <w:rFonts w:ascii="Arial" w:hAnsi="Arial" w:cs="Arial"/>
          <w:sz w:val="24"/>
          <w:szCs w:val="24"/>
        </w:rPr>
        <w:t>a</w:t>
      </w:r>
      <w:r w:rsidR="00CD4E70" w:rsidRPr="000758B7">
        <w:rPr>
          <w:rFonts w:ascii="Arial" w:hAnsi="Arial" w:cs="Arial"/>
          <w:sz w:val="24"/>
          <w:szCs w:val="24"/>
        </w:rPr>
        <w:t xml:space="preserve"> zbog kojih smatra da njegovu tražbinu treba priznati u manjem iznosu od iznosa koji je naveden u tablici prijavljenih tražbina, te bi sud </w:t>
      </w:r>
      <w:r w:rsidR="000F371F" w:rsidRPr="000758B7">
        <w:rPr>
          <w:rFonts w:ascii="Arial" w:hAnsi="Arial" w:cs="Arial"/>
          <w:sz w:val="24"/>
          <w:szCs w:val="24"/>
        </w:rPr>
        <w:t xml:space="preserve">na ročištu radi ispitivanja tražbina </w:t>
      </w:r>
      <w:r w:rsidR="00EA5BE0">
        <w:rPr>
          <w:rFonts w:ascii="Arial" w:hAnsi="Arial" w:cs="Arial"/>
          <w:sz w:val="24"/>
          <w:szCs w:val="24"/>
        </w:rPr>
        <w:t xml:space="preserve">trebao </w:t>
      </w:r>
      <w:r w:rsidR="000F371F" w:rsidRPr="000758B7">
        <w:rPr>
          <w:rFonts w:ascii="Arial" w:hAnsi="Arial" w:cs="Arial"/>
          <w:sz w:val="24"/>
          <w:szCs w:val="24"/>
        </w:rPr>
        <w:t xml:space="preserve">ispitati osporeni dio tražbine </w:t>
      </w:r>
      <w:r w:rsidR="00CD4E70" w:rsidRPr="000758B7">
        <w:rPr>
          <w:rFonts w:ascii="Arial" w:hAnsi="Arial" w:cs="Arial"/>
          <w:sz w:val="24"/>
          <w:szCs w:val="24"/>
        </w:rPr>
        <w:t>i donijeti odgovarajuću odluku</w:t>
      </w:r>
      <w:r w:rsidR="000F371F" w:rsidRPr="000758B7">
        <w:rPr>
          <w:rFonts w:ascii="Arial" w:hAnsi="Arial" w:cs="Arial"/>
          <w:sz w:val="24"/>
          <w:szCs w:val="24"/>
        </w:rPr>
        <w:t>.</w:t>
      </w:r>
      <w:r w:rsidR="00004CF0" w:rsidRPr="000758B7">
        <w:rPr>
          <w:rStyle w:val="Referencafusnote"/>
          <w:rFonts w:ascii="Arial" w:hAnsi="Arial" w:cs="Arial"/>
          <w:sz w:val="24"/>
          <w:szCs w:val="24"/>
        </w:rPr>
        <w:footnoteReference w:id="126"/>
      </w:r>
      <w:r w:rsidR="000F371F" w:rsidRPr="000758B7">
        <w:rPr>
          <w:rFonts w:ascii="Arial" w:hAnsi="Arial" w:cs="Arial"/>
          <w:sz w:val="24"/>
          <w:szCs w:val="24"/>
        </w:rPr>
        <w:t xml:space="preserve"> Ovo će biti moguće u slučaju ako dužnik navede i vjerovnikovu tražbinu koja nije nastala u trenutku otvaranja </w:t>
      </w:r>
      <w:proofErr w:type="spellStart"/>
      <w:r w:rsidR="000F371F" w:rsidRPr="000758B7">
        <w:rPr>
          <w:rFonts w:ascii="Arial" w:hAnsi="Arial" w:cs="Arial"/>
          <w:sz w:val="24"/>
          <w:szCs w:val="24"/>
        </w:rPr>
        <w:t>predstečajnog</w:t>
      </w:r>
      <w:proofErr w:type="spellEnd"/>
      <w:r w:rsidR="000F371F" w:rsidRPr="000758B7">
        <w:rPr>
          <w:rFonts w:ascii="Arial" w:hAnsi="Arial" w:cs="Arial"/>
          <w:sz w:val="24"/>
          <w:szCs w:val="24"/>
        </w:rPr>
        <w:t xml:space="preserve"> postupka s </w:t>
      </w:r>
      <w:r w:rsidR="00EA5BE0">
        <w:rPr>
          <w:rFonts w:ascii="Arial" w:hAnsi="Arial" w:cs="Arial"/>
          <w:sz w:val="24"/>
          <w:szCs w:val="24"/>
        </w:rPr>
        <w:t>namjerom</w:t>
      </w:r>
      <w:r w:rsidR="000F371F" w:rsidRPr="000758B7">
        <w:rPr>
          <w:rFonts w:ascii="Arial" w:hAnsi="Arial" w:cs="Arial"/>
          <w:sz w:val="24"/>
          <w:szCs w:val="24"/>
        </w:rPr>
        <w:t xml:space="preserve"> da i ona bude obuhvaćena </w:t>
      </w:r>
      <w:proofErr w:type="spellStart"/>
      <w:r w:rsidR="000F371F" w:rsidRPr="000758B7">
        <w:rPr>
          <w:rFonts w:ascii="Arial" w:hAnsi="Arial" w:cs="Arial"/>
          <w:sz w:val="24"/>
          <w:szCs w:val="24"/>
        </w:rPr>
        <w:t>prestečajnim</w:t>
      </w:r>
      <w:proofErr w:type="spellEnd"/>
      <w:r w:rsidR="000F371F" w:rsidRPr="000758B7">
        <w:rPr>
          <w:rFonts w:ascii="Arial" w:hAnsi="Arial" w:cs="Arial"/>
          <w:sz w:val="24"/>
          <w:szCs w:val="24"/>
        </w:rPr>
        <w:t xml:space="preserve"> sporazumom i umanjena za postotak </w:t>
      </w:r>
      <w:r w:rsidR="00EA5BE0">
        <w:rPr>
          <w:rFonts w:ascii="Arial" w:hAnsi="Arial" w:cs="Arial"/>
          <w:sz w:val="24"/>
          <w:szCs w:val="24"/>
        </w:rPr>
        <w:t>umanjenja vjerovničkih tražbina, što svakako nije u interesu vjerovniku.</w:t>
      </w:r>
      <w:r w:rsidR="000F371F" w:rsidRPr="000758B7">
        <w:rPr>
          <w:rFonts w:ascii="Arial" w:hAnsi="Arial" w:cs="Arial"/>
          <w:sz w:val="24"/>
          <w:szCs w:val="24"/>
        </w:rPr>
        <w:t xml:space="preserve"> </w:t>
      </w:r>
      <w:r w:rsidR="00CD4E70" w:rsidRPr="000758B7">
        <w:rPr>
          <w:rFonts w:ascii="Arial" w:hAnsi="Arial" w:cs="Arial"/>
          <w:sz w:val="24"/>
          <w:szCs w:val="24"/>
        </w:rPr>
        <w:t xml:space="preserve"> </w:t>
      </w:r>
    </w:p>
    <w:p w:rsidR="00E410F6" w:rsidRPr="000758B7" w:rsidRDefault="00E410F6" w:rsidP="00D94C0C">
      <w:pPr>
        <w:autoSpaceDE w:val="0"/>
        <w:autoSpaceDN w:val="0"/>
        <w:adjustRightInd w:val="0"/>
        <w:spacing w:before="120" w:after="120" w:line="240" w:lineRule="auto"/>
        <w:jc w:val="both"/>
        <w:rPr>
          <w:rFonts w:ascii="Arial" w:hAnsi="Arial" w:cs="Arial"/>
          <w:sz w:val="24"/>
          <w:szCs w:val="24"/>
        </w:rPr>
      </w:pPr>
      <w:r w:rsidRPr="000758B7">
        <w:rPr>
          <w:rFonts w:ascii="Arial" w:hAnsi="Arial" w:cs="Arial"/>
          <w:sz w:val="24"/>
          <w:szCs w:val="24"/>
        </w:rPr>
        <w:tab/>
        <w:t xml:space="preserve">Ministarstvo financija – Porezna uprava može prijaviti tražbine s osnove poreza, prireza, doprinosa za obvezna osiguranja koja se prema zakonu izdvajaju iz prihoda, odnosno plaća, kao i druge tražbine koja je ovlaštena naplaćivati, osim tražbina po osnovi poreza i prireza na dohodak od nesamostalnog rada i doprinosa iz osnove za osiguranike po osnovi radnog odnosa. Dohodak od nesamostalnog rada je rad kod poslodavca, a dohodak od samostalnog rada ostvaruje obrtnik. Imajući u vidu da </w:t>
      </w:r>
      <w:r w:rsidR="00D94C0C" w:rsidRPr="000758B7">
        <w:rPr>
          <w:rFonts w:ascii="Arial" w:hAnsi="Arial" w:cs="Arial"/>
          <w:sz w:val="24"/>
          <w:szCs w:val="24"/>
        </w:rPr>
        <w:t xml:space="preserve">tražbine </w:t>
      </w:r>
      <w:r w:rsidRPr="000758B7">
        <w:rPr>
          <w:rFonts w:ascii="Arial" w:hAnsi="Arial" w:cs="Arial"/>
          <w:sz w:val="24"/>
          <w:szCs w:val="24"/>
        </w:rPr>
        <w:t>radni</w:t>
      </w:r>
      <w:r w:rsidR="00D94C0C" w:rsidRPr="000758B7">
        <w:rPr>
          <w:rFonts w:ascii="Arial" w:hAnsi="Arial" w:cs="Arial"/>
          <w:sz w:val="24"/>
          <w:szCs w:val="24"/>
        </w:rPr>
        <w:t>ka</w:t>
      </w:r>
      <w:r w:rsidRPr="000758B7">
        <w:rPr>
          <w:rFonts w:ascii="Arial" w:hAnsi="Arial" w:cs="Arial"/>
          <w:sz w:val="24"/>
          <w:szCs w:val="24"/>
        </w:rPr>
        <w:t xml:space="preserve"> i prijašnji</w:t>
      </w:r>
      <w:r w:rsidR="00D94C0C" w:rsidRPr="000758B7">
        <w:rPr>
          <w:rFonts w:ascii="Arial" w:hAnsi="Arial" w:cs="Arial"/>
          <w:sz w:val="24"/>
          <w:szCs w:val="24"/>
        </w:rPr>
        <w:t>h</w:t>
      </w:r>
      <w:r w:rsidRPr="000758B7">
        <w:rPr>
          <w:rFonts w:ascii="Arial" w:hAnsi="Arial" w:cs="Arial"/>
          <w:sz w:val="24"/>
          <w:szCs w:val="24"/>
        </w:rPr>
        <w:t xml:space="preserve"> dužnikovi</w:t>
      </w:r>
      <w:r w:rsidR="00D94C0C" w:rsidRPr="000758B7">
        <w:rPr>
          <w:rFonts w:ascii="Arial" w:hAnsi="Arial" w:cs="Arial"/>
          <w:sz w:val="24"/>
          <w:szCs w:val="24"/>
        </w:rPr>
        <w:t xml:space="preserve">h radnika ne mogu </w:t>
      </w:r>
      <w:r w:rsidR="00D94C0C" w:rsidRPr="000758B7">
        <w:rPr>
          <w:rFonts w:ascii="Arial" w:hAnsi="Arial" w:cs="Arial"/>
          <w:sz w:val="24"/>
          <w:szCs w:val="24"/>
          <w:lang w:val="x-none"/>
        </w:rPr>
        <w:t xml:space="preserve">biti predmet </w:t>
      </w:r>
      <w:proofErr w:type="spellStart"/>
      <w:r w:rsidR="00D94C0C" w:rsidRPr="000758B7">
        <w:rPr>
          <w:rFonts w:ascii="Arial" w:hAnsi="Arial" w:cs="Arial"/>
          <w:sz w:val="24"/>
          <w:szCs w:val="24"/>
          <w:lang w:val="x-none"/>
        </w:rPr>
        <w:t>predstečajnog</w:t>
      </w:r>
      <w:proofErr w:type="spellEnd"/>
      <w:r w:rsidR="00D94C0C" w:rsidRPr="000758B7">
        <w:rPr>
          <w:rFonts w:ascii="Arial" w:hAnsi="Arial" w:cs="Arial"/>
          <w:sz w:val="24"/>
          <w:szCs w:val="24"/>
          <w:lang w:val="x-none"/>
        </w:rPr>
        <w:t xml:space="preserve"> sporazuma</w:t>
      </w:r>
      <w:r w:rsidR="00D94C0C" w:rsidRPr="000758B7">
        <w:rPr>
          <w:rFonts w:ascii="Arial" w:hAnsi="Arial" w:cs="Arial"/>
          <w:sz w:val="24"/>
          <w:szCs w:val="24"/>
        </w:rPr>
        <w:t>,</w:t>
      </w:r>
      <w:r w:rsidRPr="000758B7">
        <w:rPr>
          <w:rFonts w:ascii="Arial" w:hAnsi="Arial" w:cs="Arial"/>
          <w:sz w:val="24"/>
          <w:szCs w:val="24"/>
        </w:rPr>
        <w:t xml:space="preserve"> Ministarstvo financija –</w:t>
      </w:r>
      <w:r w:rsidR="00EA5BE0">
        <w:rPr>
          <w:rFonts w:ascii="Arial" w:hAnsi="Arial" w:cs="Arial"/>
          <w:sz w:val="24"/>
          <w:szCs w:val="24"/>
        </w:rPr>
        <w:t xml:space="preserve"> </w:t>
      </w:r>
      <w:r w:rsidRPr="000758B7">
        <w:rPr>
          <w:rFonts w:ascii="Arial" w:hAnsi="Arial" w:cs="Arial"/>
          <w:sz w:val="24"/>
          <w:szCs w:val="24"/>
        </w:rPr>
        <w:t>Porezna uprava također ne podnosi prijavu tražbina za tu vrstu prihoda.</w:t>
      </w:r>
      <w:r w:rsidR="00D33EF4" w:rsidRPr="000758B7">
        <w:rPr>
          <w:rStyle w:val="Referencafusnote"/>
          <w:rFonts w:ascii="Arial" w:hAnsi="Arial" w:cs="Arial"/>
          <w:sz w:val="24"/>
          <w:szCs w:val="24"/>
        </w:rPr>
        <w:footnoteReference w:id="127"/>
      </w:r>
    </w:p>
    <w:p w:rsidR="00143499" w:rsidRPr="000758B7" w:rsidRDefault="00881D38" w:rsidP="00D94C0C">
      <w:pPr>
        <w:autoSpaceDE w:val="0"/>
        <w:autoSpaceDN w:val="0"/>
        <w:adjustRightInd w:val="0"/>
        <w:spacing w:before="120" w:after="120" w:line="240" w:lineRule="auto"/>
        <w:jc w:val="both"/>
        <w:rPr>
          <w:rFonts w:ascii="Arial" w:hAnsi="Arial" w:cs="Arial"/>
          <w:sz w:val="24"/>
          <w:szCs w:val="24"/>
        </w:rPr>
      </w:pPr>
      <w:r w:rsidRPr="000758B7">
        <w:rPr>
          <w:rFonts w:ascii="Arial" w:hAnsi="Arial" w:cs="Arial"/>
          <w:sz w:val="24"/>
          <w:szCs w:val="24"/>
        </w:rPr>
        <w:tab/>
        <w:t xml:space="preserve">Na tražbine otuđene nakon otvaranja </w:t>
      </w:r>
      <w:proofErr w:type="spellStart"/>
      <w:r w:rsidRPr="000758B7">
        <w:rPr>
          <w:rFonts w:ascii="Arial" w:hAnsi="Arial" w:cs="Arial"/>
          <w:sz w:val="24"/>
          <w:szCs w:val="24"/>
        </w:rPr>
        <w:t>predstečajnog</w:t>
      </w:r>
      <w:proofErr w:type="spellEnd"/>
      <w:r w:rsidRPr="000758B7">
        <w:rPr>
          <w:rFonts w:ascii="Arial" w:hAnsi="Arial" w:cs="Arial"/>
          <w:sz w:val="24"/>
          <w:szCs w:val="24"/>
        </w:rPr>
        <w:t xml:space="preserve"> postupka na odgovarajući način primjenjuju se pravila iz članka 146. SZ-a. Slijedom toga, stjecatelj tražbine može u </w:t>
      </w:r>
      <w:proofErr w:type="spellStart"/>
      <w:r w:rsidRPr="000758B7">
        <w:rPr>
          <w:rFonts w:ascii="Arial" w:hAnsi="Arial" w:cs="Arial"/>
          <w:sz w:val="24"/>
          <w:szCs w:val="24"/>
        </w:rPr>
        <w:t>predstečajnom</w:t>
      </w:r>
      <w:proofErr w:type="spellEnd"/>
      <w:r w:rsidRPr="000758B7">
        <w:rPr>
          <w:rFonts w:ascii="Arial" w:hAnsi="Arial" w:cs="Arial"/>
          <w:sz w:val="24"/>
          <w:szCs w:val="24"/>
        </w:rPr>
        <w:t xml:space="preserve"> postupku imati samo ona prava koja bi mogao </w:t>
      </w:r>
      <w:r w:rsidR="00333004" w:rsidRPr="000758B7">
        <w:rPr>
          <w:rFonts w:ascii="Arial" w:hAnsi="Arial" w:cs="Arial"/>
          <w:sz w:val="24"/>
          <w:szCs w:val="24"/>
        </w:rPr>
        <w:t>imati i njegov prednik, ako zak</w:t>
      </w:r>
      <w:r w:rsidRPr="000758B7">
        <w:rPr>
          <w:rFonts w:ascii="Arial" w:hAnsi="Arial" w:cs="Arial"/>
          <w:sz w:val="24"/>
          <w:szCs w:val="24"/>
        </w:rPr>
        <w:t>onom nije drukčije određeno.</w:t>
      </w:r>
      <w:r w:rsidRPr="000758B7">
        <w:rPr>
          <w:rStyle w:val="Referencafusnote"/>
          <w:rFonts w:ascii="Arial" w:hAnsi="Arial" w:cs="Arial"/>
          <w:sz w:val="24"/>
          <w:szCs w:val="24"/>
        </w:rPr>
        <w:footnoteReference w:id="128"/>
      </w:r>
      <w:r w:rsidRPr="000758B7">
        <w:rPr>
          <w:rFonts w:ascii="Arial" w:hAnsi="Arial" w:cs="Arial"/>
          <w:sz w:val="24"/>
          <w:szCs w:val="24"/>
        </w:rPr>
        <w:t xml:space="preserve"> Ako vj</w:t>
      </w:r>
      <w:r w:rsidR="00333004" w:rsidRPr="000758B7">
        <w:rPr>
          <w:rFonts w:ascii="Arial" w:hAnsi="Arial" w:cs="Arial"/>
          <w:sz w:val="24"/>
          <w:szCs w:val="24"/>
        </w:rPr>
        <w:t>e</w:t>
      </w:r>
      <w:r w:rsidRPr="000758B7">
        <w:rPr>
          <w:rFonts w:ascii="Arial" w:hAnsi="Arial" w:cs="Arial"/>
          <w:sz w:val="24"/>
          <w:szCs w:val="24"/>
        </w:rPr>
        <w:t xml:space="preserve">rovnik otuđi svoju tražbinu koju je prijavio u </w:t>
      </w:r>
      <w:proofErr w:type="spellStart"/>
      <w:r w:rsidRPr="000758B7">
        <w:rPr>
          <w:rFonts w:ascii="Arial" w:hAnsi="Arial" w:cs="Arial"/>
          <w:sz w:val="24"/>
          <w:szCs w:val="24"/>
        </w:rPr>
        <w:t>predstečajnom</w:t>
      </w:r>
      <w:proofErr w:type="spellEnd"/>
      <w:r w:rsidRPr="000758B7">
        <w:rPr>
          <w:rFonts w:ascii="Arial" w:hAnsi="Arial" w:cs="Arial"/>
          <w:sz w:val="24"/>
          <w:szCs w:val="24"/>
        </w:rPr>
        <w:t xml:space="preserve"> postupku, njezin stjecatelj stupa u pravni položaj svoga prednika, ako zakonom nije drukčije određeno.</w:t>
      </w:r>
      <w:r w:rsidRPr="000758B7">
        <w:rPr>
          <w:rStyle w:val="Referencafusnote"/>
          <w:rFonts w:ascii="Arial" w:hAnsi="Arial" w:cs="Arial"/>
          <w:sz w:val="24"/>
          <w:szCs w:val="24"/>
        </w:rPr>
        <w:footnoteReference w:id="129"/>
      </w:r>
      <w:r w:rsidRPr="000758B7">
        <w:rPr>
          <w:rFonts w:ascii="Arial" w:hAnsi="Arial" w:cs="Arial"/>
          <w:sz w:val="24"/>
          <w:szCs w:val="24"/>
        </w:rPr>
        <w:t xml:space="preserve"> Prijenos tražbine može se dokazivati samo javnom ili </w:t>
      </w:r>
      <w:proofErr w:type="spellStart"/>
      <w:r w:rsidRPr="000758B7">
        <w:rPr>
          <w:rFonts w:ascii="Arial" w:hAnsi="Arial" w:cs="Arial"/>
          <w:sz w:val="24"/>
          <w:szCs w:val="24"/>
        </w:rPr>
        <w:t>javnoovjerovljenom</w:t>
      </w:r>
      <w:proofErr w:type="spellEnd"/>
      <w:r w:rsidRPr="000758B7">
        <w:rPr>
          <w:rFonts w:ascii="Arial" w:hAnsi="Arial" w:cs="Arial"/>
          <w:sz w:val="24"/>
          <w:szCs w:val="24"/>
        </w:rPr>
        <w:t xml:space="preserve"> ispravom ili izjavom dužnika danom pred sudom.</w:t>
      </w:r>
      <w:r w:rsidRPr="000758B7">
        <w:rPr>
          <w:rStyle w:val="Referencafusnote"/>
          <w:rFonts w:ascii="Arial" w:hAnsi="Arial" w:cs="Arial"/>
          <w:sz w:val="24"/>
          <w:szCs w:val="24"/>
        </w:rPr>
        <w:footnoteReference w:id="130"/>
      </w:r>
    </w:p>
    <w:p w:rsidR="00265E72" w:rsidRDefault="00265E72" w:rsidP="00D94C0C">
      <w:pPr>
        <w:autoSpaceDE w:val="0"/>
        <w:autoSpaceDN w:val="0"/>
        <w:adjustRightInd w:val="0"/>
        <w:spacing w:before="120" w:after="120" w:line="240" w:lineRule="auto"/>
        <w:jc w:val="both"/>
        <w:rPr>
          <w:rFonts w:ascii="Times New Roman" w:hAnsi="Times New Roman" w:cs="Times New Roman"/>
          <w:sz w:val="24"/>
          <w:szCs w:val="24"/>
        </w:rPr>
      </w:pPr>
    </w:p>
    <w:p w:rsidR="00857CC3" w:rsidRDefault="00281FC4" w:rsidP="00281FC4">
      <w:pPr>
        <w:pStyle w:val="Naslov3"/>
      </w:pPr>
      <w:bookmarkStart w:id="25" w:name="_Toc507067623"/>
      <w:r>
        <w:t xml:space="preserve">2.3.2. </w:t>
      </w:r>
      <w:r w:rsidR="00E722C9" w:rsidRPr="00281FC4">
        <w:t>T</w:t>
      </w:r>
      <w:r w:rsidR="00857CC3" w:rsidRPr="00281FC4">
        <w:t>ražbine radnika</w:t>
      </w:r>
      <w:bookmarkEnd w:id="25"/>
      <w:r w:rsidR="00857CC3" w:rsidRPr="00281FC4">
        <w:t xml:space="preserve"> </w:t>
      </w:r>
    </w:p>
    <w:p w:rsidR="00281FC4" w:rsidRPr="00281FC4" w:rsidRDefault="00281FC4" w:rsidP="00281FC4"/>
    <w:p w:rsidR="007D58A6" w:rsidRPr="002700B9" w:rsidRDefault="00E410F6" w:rsidP="00D94C0C">
      <w:pPr>
        <w:autoSpaceDE w:val="0"/>
        <w:autoSpaceDN w:val="0"/>
        <w:adjustRightInd w:val="0"/>
        <w:spacing w:before="120" w:after="120" w:line="240" w:lineRule="auto"/>
        <w:jc w:val="both"/>
        <w:rPr>
          <w:rFonts w:ascii="Arial" w:hAnsi="Arial" w:cs="Arial"/>
          <w:sz w:val="24"/>
          <w:szCs w:val="24"/>
        </w:rPr>
      </w:pPr>
      <w:r w:rsidRPr="002700B9">
        <w:rPr>
          <w:rFonts w:ascii="Arial" w:hAnsi="Arial" w:cs="Arial"/>
          <w:sz w:val="24"/>
          <w:szCs w:val="24"/>
        </w:rPr>
        <w:tab/>
      </w:r>
      <w:r w:rsidR="00E722C9" w:rsidRPr="002700B9">
        <w:rPr>
          <w:rFonts w:ascii="Arial" w:hAnsi="Arial" w:cs="Arial"/>
          <w:sz w:val="24"/>
          <w:szCs w:val="24"/>
        </w:rPr>
        <w:t>R</w:t>
      </w:r>
      <w:r w:rsidRPr="002700B9">
        <w:rPr>
          <w:rFonts w:ascii="Arial" w:hAnsi="Arial" w:cs="Arial"/>
          <w:sz w:val="24"/>
          <w:szCs w:val="24"/>
        </w:rPr>
        <w:t>adnici i prijašnji radnici te Ministarstvo financija</w:t>
      </w:r>
      <w:r w:rsidR="00CD4E70" w:rsidRPr="002700B9">
        <w:rPr>
          <w:rFonts w:ascii="Arial" w:hAnsi="Arial" w:cs="Arial"/>
          <w:sz w:val="24"/>
          <w:szCs w:val="24"/>
        </w:rPr>
        <w:t xml:space="preserve"> -</w:t>
      </w:r>
      <w:r w:rsidRPr="002700B9">
        <w:rPr>
          <w:rFonts w:ascii="Arial" w:hAnsi="Arial" w:cs="Arial"/>
          <w:sz w:val="24"/>
          <w:szCs w:val="24"/>
        </w:rPr>
        <w:t xml:space="preserve"> Porezna uprava ne podnose prijav</w:t>
      </w:r>
      <w:r w:rsidR="00E722C9" w:rsidRPr="002700B9">
        <w:rPr>
          <w:rFonts w:ascii="Arial" w:hAnsi="Arial" w:cs="Arial"/>
          <w:sz w:val="24"/>
          <w:szCs w:val="24"/>
        </w:rPr>
        <w:t>u tražbina iz radnoga odnosa</w:t>
      </w:r>
      <w:r w:rsidR="002700B9">
        <w:rPr>
          <w:rFonts w:ascii="Arial" w:hAnsi="Arial" w:cs="Arial"/>
          <w:sz w:val="24"/>
          <w:szCs w:val="24"/>
        </w:rPr>
        <w:t>, otpremnine do iznosa propisanog zakonom, odnosno kolektivnim ugovorom i tražbine po osnovi naknade štete pretrpljene zbog ozljede na radu ili profesionalne bolesti</w:t>
      </w:r>
      <w:r w:rsidR="00E722C9" w:rsidRPr="002700B9">
        <w:rPr>
          <w:rFonts w:ascii="Arial" w:hAnsi="Arial" w:cs="Arial"/>
          <w:sz w:val="24"/>
          <w:szCs w:val="24"/>
        </w:rPr>
        <w:t>.</w:t>
      </w:r>
      <w:r w:rsidR="00F55122">
        <w:rPr>
          <w:rStyle w:val="Referencafusnote"/>
          <w:rFonts w:ascii="Arial" w:hAnsi="Arial" w:cs="Arial"/>
          <w:sz w:val="24"/>
          <w:szCs w:val="24"/>
        </w:rPr>
        <w:footnoteReference w:id="131"/>
      </w:r>
      <w:r w:rsidR="00E722C9" w:rsidRPr="002700B9">
        <w:rPr>
          <w:rFonts w:ascii="Arial" w:hAnsi="Arial" w:cs="Arial"/>
          <w:sz w:val="24"/>
          <w:szCs w:val="24"/>
        </w:rPr>
        <w:t xml:space="preserve"> </w:t>
      </w:r>
      <w:r w:rsidR="002700B9">
        <w:rPr>
          <w:rFonts w:ascii="Arial" w:hAnsi="Arial" w:cs="Arial"/>
          <w:sz w:val="24"/>
          <w:szCs w:val="24"/>
        </w:rPr>
        <w:t xml:space="preserve">Njihove tražbine ne mogu biti predmet </w:t>
      </w:r>
      <w:proofErr w:type="spellStart"/>
      <w:r w:rsidR="002700B9">
        <w:rPr>
          <w:rFonts w:ascii="Arial" w:hAnsi="Arial" w:cs="Arial"/>
          <w:sz w:val="24"/>
          <w:szCs w:val="24"/>
        </w:rPr>
        <w:t>predstečajnog</w:t>
      </w:r>
      <w:proofErr w:type="spellEnd"/>
      <w:r w:rsidR="002700B9">
        <w:rPr>
          <w:rFonts w:ascii="Arial" w:hAnsi="Arial" w:cs="Arial"/>
          <w:sz w:val="24"/>
          <w:szCs w:val="24"/>
        </w:rPr>
        <w:t xml:space="preserve"> sporazuma.</w:t>
      </w:r>
      <w:r w:rsidR="002700B9">
        <w:rPr>
          <w:rStyle w:val="Referencafusnote"/>
          <w:rFonts w:ascii="Arial" w:hAnsi="Arial" w:cs="Arial"/>
          <w:sz w:val="24"/>
          <w:szCs w:val="24"/>
        </w:rPr>
        <w:footnoteReference w:id="132"/>
      </w:r>
      <w:r w:rsidR="002700B9">
        <w:rPr>
          <w:rFonts w:ascii="Arial" w:hAnsi="Arial" w:cs="Arial"/>
          <w:sz w:val="24"/>
          <w:szCs w:val="24"/>
        </w:rPr>
        <w:t xml:space="preserve"> </w:t>
      </w:r>
      <w:r w:rsidR="00E722C9" w:rsidRPr="002700B9">
        <w:rPr>
          <w:rFonts w:ascii="Arial" w:hAnsi="Arial" w:cs="Arial"/>
          <w:sz w:val="24"/>
          <w:szCs w:val="24"/>
        </w:rPr>
        <w:t>Međutim,</w:t>
      </w:r>
      <w:r w:rsidR="00CD4E70" w:rsidRPr="002700B9">
        <w:rPr>
          <w:rFonts w:ascii="Arial" w:hAnsi="Arial" w:cs="Arial"/>
          <w:sz w:val="24"/>
          <w:szCs w:val="24"/>
        </w:rPr>
        <w:t xml:space="preserve"> predlagatelj</w:t>
      </w:r>
      <w:r w:rsidRPr="002700B9">
        <w:rPr>
          <w:rFonts w:ascii="Arial" w:hAnsi="Arial" w:cs="Arial"/>
          <w:sz w:val="24"/>
          <w:szCs w:val="24"/>
        </w:rPr>
        <w:t xml:space="preserve"> je dužan u prijedlogu za otvaranje </w:t>
      </w:r>
      <w:proofErr w:type="spellStart"/>
      <w:r w:rsidRPr="002700B9">
        <w:rPr>
          <w:rFonts w:ascii="Arial" w:hAnsi="Arial" w:cs="Arial"/>
          <w:sz w:val="24"/>
          <w:szCs w:val="24"/>
        </w:rPr>
        <w:t>predstečajnog</w:t>
      </w:r>
      <w:proofErr w:type="spellEnd"/>
      <w:r w:rsidRPr="002700B9">
        <w:rPr>
          <w:rFonts w:ascii="Arial" w:hAnsi="Arial" w:cs="Arial"/>
          <w:sz w:val="24"/>
          <w:szCs w:val="24"/>
        </w:rPr>
        <w:t xml:space="preserve"> postupka </w:t>
      </w:r>
      <w:r w:rsidR="00D94C0C" w:rsidRPr="002700B9">
        <w:rPr>
          <w:rFonts w:ascii="Arial" w:hAnsi="Arial" w:cs="Arial"/>
          <w:sz w:val="24"/>
          <w:szCs w:val="24"/>
        </w:rPr>
        <w:t xml:space="preserve">navesti njihove tražbine. </w:t>
      </w:r>
    </w:p>
    <w:p w:rsidR="00BE4CE5" w:rsidRDefault="008641A9" w:rsidP="007D58A6">
      <w:pPr>
        <w:autoSpaceDE w:val="0"/>
        <w:autoSpaceDN w:val="0"/>
        <w:adjustRightInd w:val="0"/>
        <w:spacing w:before="120" w:after="120" w:line="240" w:lineRule="auto"/>
        <w:ind w:firstLine="708"/>
        <w:jc w:val="both"/>
        <w:rPr>
          <w:rFonts w:ascii="Arial" w:hAnsi="Arial" w:cs="Arial"/>
          <w:sz w:val="24"/>
          <w:szCs w:val="24"/>
        </w:rPr>
      </w:pPr>
      <w:r w:rsidRPr="002700B9">
        <w:rPr>
          <w:rFonts w:ascii="Arial" w:hAnsi="Arial" w:cs="Arial"/>
          <w:sz w:val="24"/>
          <w:szCs w:val="24"/>
        </w:rPr>
        <w:lastRenderedPageBreak/>
        <w:t>R</w:t>
      </w:r>
      <w:r w:rsidR="00D94C0C" w:rsidRPr="002700B9">
        <w:rPr>
          <w:rFonts w:ascii="Arial" w:hAnsi="Arial" w:cs="Arial"/>
          <w:sz w:val="24"/>
          <w:szCs w:val="24"/>
        </w:rPr>
        <w:t>adnici</w:t>
      </w:r>
      <w:r w:rsidRPr="002700B9">
        <w:rPr>
          <w:rFonts w:ascii="Arial" w:hAnsi="Arial" w:cs="Arial"/>
          <w:sz w:val="24"/>
          <w:szCs w:val="24"/>
        </w:rPr>
        <w:t>ma</w:t>
      </w:r>
      <w:r w:rsidR="00D94C0C" w:rsidRPr="002700B9">
        <w:rPr>
          <w:rFonts w:ascii="Arial" w:hAnsi="Arial" w:cs="Arial"/>
          <w:sz w:val="24"/>
          <w:szCs w:val="24"/>
        </w:rPr>
        <w:t xml:space="preserve"> i Ministarstv</w:t>
      </w:r>
      <w:r w:rsidRPr="002700B9">
        <w:rPr>
          <w:rFonts w:ascii="Arial" w:hAnsi="Arial" w:cs="Arial"/>
          <w:sz w:val="24"/>
          <w:szCs w:val="24"/>
        </w:rPr>
        <w:t>u</w:t>
      </w:r>
      <w:r w:rsidR="00D94C0C" w:rsidRPr="002700B9">
        <w:rPr>
          <w:rFonts w:ascii="Arial" w:hAnsi="Arial" w:cs="Arial"/>
          <w:sz w:val="24"/>
          <w:szCs w:val="24"/>
        </w:rPr>
        <w:t xml:space="preserve"> financija dopušt</w:t>
      </w:r>
      <w:r w:rsidRPr="002700B9">
        <w:rPr>
          <w:rFonts w:ascii="Arial" w:hAnsi="Arial" w:cs="Arial"/>
          <w:sz w:val="24"/>
          <w:szCs w:val="24"/>
        </w:rPr>
        <w:t xml:space="preserve">eno je </w:t>
      </w:r>
      <w:r w:rsidR="00D94C0C" w:rsidRPr="002700B9">
        <w:rPr>
          <w:rFonts w:ascii="Arial" w:hAnsi="Arial" w:cs="Arial"/>
          <w:sz w:val="24"/>
          <w:szCs w:val="24"/>
        </w:rPr>
        <w:t xml:space="preserve">podnošenje prigovora sudu </w:t>
      </w:r>
      <w:r w:rsidR="007D58A6" w:rsidRPr="002700B9">
        <w:rPr>
          <w:rFonts w:ascii="Arial" w:hAnsi="Arial" w:cs="Arial"/>
          <w:sz w:val="24"/>
          <w:szCs w:val="24"/>
        </w:rPr>
        <w:t xml:space="preserve">protiv prijedloga za otvaranje </w:t>
      </w:r>
      <w:proofErr w:type="spellStart"/>
      <w:r w:rsidR="007D58A6" w:rsidRPr="002700B9">
        <w:rPr>
          <w:rFonts w:ascii="Arial" w:hAnsi="Arial" w:cs="Arial"/>
          <w:sz w:val="24"/>
          <w:szCs w:val="24"/>
        </w:rPr>
        <w:t>predstečajnog</w:t>
      </w:r>
      <w:proofErr w:type="spellEnd"/>
      <w:r w:rsidR="007D58A6" w:rsidRPr="002700B9">
        <w:rPr>
          <w:rFonts w:ascii="Arial" w:hAnsi="Arial" w:cs="Arial"/>
          <w:sz w:val="24"/>
          <w:szCs w:val="24"/>
        </w:rPr>
        <w:t xml:space="preserve"> postupka </w:t>
      </w:r>
      <w:r w:rsidR="00D94C0C" w:rsidRPr="002700B9">
        <w:rPr>
          <w:rFonts w:ascii="Arial" w:hAnsi="Arial" w:cs="Arial"/>
          <w:sz w:val="24"/>
          <w:szCs w:val="24"/>
        </w:rPr>
        <w:t>ako označene tražbine nisu navedene u prijedlogu ili su pogrešno navedene.</w:t>
      </w:r>
      <w:r w:rsidR="00CA649C" w:rsidRPr="002700B9">
        <w:rPr>
          <w:rStyle w:val="Referencafusnote"/>
          <w:rFonts w:ascii="Arial" w:hAnsi="Arial" w:cs="Arial"/>
          <w:sz w:val="24"/>
          <w:szCs w:val="24"/>
        </w:rPr>
        <w:footnoteReference w:id="133"/>
      </w:r>
      <w:r w:rsidR="00D94C0C" w:rsidRPr="002700B9">
        <w:rPr>
          <w:rFonts w:ascii="Arial" w:hAnsi="Arial" w:cs="Arial"/>
          <w:sz w:val="24"/>
          <w:szCs w:val="24"/>
          <w:lang w:val="x-none"/>
        </w:rPr>
        <w:t xml:space="preserve"> Prigovor </w:t>
      </w:r>
      <w:r w:rsidR="002700B9" w:rsidRPr="002700B9">
        <w:rPr>
          <w:rFonts w:ascii="Arial" w:hAnsi="Arial" w:cs="Arial"/>
          <w:sz w:val="24"/>
          <w:szCs w:val="24"/>
        </w:rPr>
        <w:t xml:space="preserve">protiv prijedloga za otvaranje </w:t>
      </w:r>
      <w:proofErr w:type="spellStart"/>
      <w:r w:rsidR="002700B9" w:rsidRPr="002700B9">
        <w:rPr>
          <w:rFonts w:ascii="Arial" w:hAnsi="Arial" w:cs="Arial"/>
          <w:sz w:val="24"/>
          <w:szCs w:val="24"/>
        </w:rPr>
        <w:t>predstečajnog</w:t>
      </w:r>
      <w:proofErr w:type="spellEnd"/>
      <w:r w:rsidR="002700B9" w:rsidRPr="002700B9">
        <w:rPr>
          <w:rFonts w:ascii="Arial" w:hAnsi="Arial" w:cs="Arial"/>
          <w:sz w:val="24"/>
          <w:szCs w:val="24"/>
        </w:rPr>
        <w:t xml:space="preserve"> postupka</w:t>
      </w:r>
      <w:r w:rsidR="002700B9" w:rsidRPr="002700B9">
        <w:rPr>
          <w:rFonts w:ascii="Arial" w:hAnsi="Arial" w:cs="Arial"/>
          <w:sz w:val="24"/>
          <w:szCs w:val="24"/>
          <w:lang w:val="x-none"/>
        </w:rPr>
        <w:t xml:space="preserve"> </w:t>
      </w:r>
      <w:r w:rsidR="00D94C0C" w:rsidRPr="002700B9">
        <w:rPr>
          <w:rFonts w:ascii="Arial" w:hAnsi="Arial" w:cs="Arial"/>
          <w:sz w:val="24"/>
          <w:szCs w:val="24"/>
          <w:lang w:val="x-none"/>
        </w:rPr>
        <w:t>može</w:t>
      </w:r>
      <w:r w:rsidR="004E3F02">
        <w:rPr>
          <w:rFonts w:ascii="Arial" w:hAnsi="Arial" w:cs="Arial"/>
          <w:sz w:val="24"/>
          <w:szCs w:val="24"/>
        </w:rPr>
        <w:t xml:space="preserve"> se</w:t>
      </w:r>
      <w:r w:rsidR="00D94C0C" w:rsidRPr="002700B9">
        <w:rPr>
          <w:rFonts w:ascii="Arial" w:hAnsi="Arial" w:cs="Arial"/>
          <w:sz w:val="24"/>
          <w:szCs w:val="24"/>
          <w:lang w:val="x-none"/>
        </w:rPr>
        <w:t xml:space="preserve"> podnijeti do dovršetka rasprave na ročištu za glasovanje o </w:t>
      </w:r>
      <w:r w:rsidR="00EA5BE0">
        <w:rPr>
          <w:rFonts w:ascii="Arial" w:hAnsi="Arial" w:cs="Arial"/>
          <w:sz w:val="24"/>
          <w:szCs w:val="24"/>
        </w:rPr>
        <w:t xml:space="preserve">prijedlogu </w:t>
      </w:r>
      <w:r w:rsidR="00D94C0C" w:rsidRPr="002700B9">
        <w:rPr>
          <w:rFonts w:ascii="Arial" w:hAnsi="Arial" w:cs="Arial"/>
          <w:sz w:val="24"/>
          <w:szCs w:val="24"/>
          <w:lang w:val="x-none"/>
        </w:rPr>
        <w:t>plan</w:t>
      </w:r>
      <w:r w:rsidR="00EA5BE0">
        <w:rPr>
          <w:rFonts w:ascii="Arial" w:hAnsi="Arial" w:cs="Arial"/>
          <w:sz w:val="24"/>
          <w:szCs w:val="24"/>
        </w:rPr>
        <w:t>a</w:t>
      </w:r>
      <w:r w:rsidR="00D94C0C" w:rsidRPr="002700B9">
        <w:rPr>
          <w:rFonts w:ascii="Arial" w:hAnsi="Arial" w:cs="Arial"/>
          <w:sz w:val="24"/>
          <w:szCs w:val="24"/>
          <w:lang w:val="x-none"/>
        </w:rPr>
        <w:t xml:space="preserve"> restrukturiranja.</w:t>
      </w:r>
      <w:r w:rsidR="00084220" w:rsidRPr="002700B9">
        <w:rPr>
          <w:rStyle w:val="Referencafusnote"/>
          <w:rFonts w:ascii="Arial" w:hAnsi="Arial" w:cs="Arial"/>
          <w:sz w:val="24"/>
          <w:szCs w:val="24"/>
          <w:lang w:val="x-none"/>
        </w:rPr>
        <w:footnoteReference w:id="134"/>
      </w:r>
      <w:r w:rsidR="00D94C0C" w:rsidRPr="002700B9">
        <w:rPr>
          <w:rFonts w:ascii="Arial" w:hAnsi="Arial" w:cs="Arial"/>
          <w:sz w:val="24"/>
          <w:szCs w:val="24"/>
        </w:rPr>
        <w:t xml:space="preserve"> </w:t>
      </w:r>
      <w:r w:rsidR="00D94C0C" w:rsidRPr="002700B9">
        <w:rPr>
          <w:rFonts w:ascii="Arial" w:hAnsi="Arial" w:cs="Arial"/>
          <w:sz w:val="24"/>
          <w:szCs w:val="24"/>
          <w:lang w:val="x-none"/>
        </w:rPr>
        <w:t xml:space="preserve">Podnositelj prigovora dužan je u prigovoru odrediti u kojem dijelu pobija prijedlog za otvaranje </w:t>
      </w:r>
      <w:proofErr w:type="spellStart"/>
      <w:r w:rsidR="00D94C0C" w:rsidRPr="002700B9">
        <w:rPr>
          <w:rFonts w:ascii="Arial" w:hAnsi="Arial" w:cs="Arial"/>
          <w:sz w:val="24"/>
          <w:szCs w:val="24"/>
          <w:lang w:val="x-none"/>
        </w:rPr>
        <w:t>predstečajnog</w:t>
      </w:r>
      <w:proofErr w:type="spellEnd"/>
      <w:r w:rsidR="00D94C0C" w:rsidRPr="002700B9">
        <w:rPr>
          <w:rFonts w:ascii="Arial" w:hAnsi="Arial" w:cs="Arial"/>
          <w:sz w:val="24"/>
          <w:szCs w:val="24"/>
          <w:lang w:val="x-none"/>
        </w:rPr>
        <w:t xml:space="preserve"> postupka i uz prigovor priložiti isprave kojima dokazuje postojanje svoga prava.</w:t>
      </w:r>
      <w:r w:rsidR="007D58A6" w:rsidRPr="002700B9">
        <w:rPr>
          <w:rStyle w:val="Referencafusnote"/>
          <w:rFonts w:ascii="Arial" w:hAnsi="Arial" w:cs="Arial"/>
          <w:sz w:val="24"/>
          <w:szCs w:val="24"/>
          <w:lang w:val="x-none"/>
        </w:rPr>
        <w:footnoteReference w:id="135"/>
      </w:r>
      <w:r w:rsidR="002700B9" w:rsidRPr="002700B9">
        <w:rPr>
          <w:rFonts w:ascii="Arial" w:hAnsi="Arial" w:cs="Arial"/>
          <w:sz w:val="24"/>
          <w:szCs w:val="24"/>
        </w:rPr>
        <w:t xml:space="preserve"> </w:t>
      </w:r>
      <w:r w:rsidR="00D94C0C" w:rsidRPr="002700B9">
        <w:rPr>
          <w:rFonts w:ascii="Arial" w:hAnsi="Arial" w:cs="Arial"/>
          <w:sz w:val="24"/>
          <w:szCs w:val="24"/>
          <w:lang w:val="x-none"/>
        </w:rPr>
        <w:t xml:space="preserve">Ako </w:t>
      </w:r>
      <w:r w:rsidR="005D3315" w:rsidRPr="002700B9">
        <w:rPr>
          <w:rFonts w:ascii="Arial" w:hAnsi="Arial" w:cs="Arial"/>
          <w:sz w:val="24"/>
          <w:szCs w:val="24"/>
        </w:rPr>
        <w:t xml:space="preserve">je </w:t>
      </w:r>
      <w:r w:rsidR="00D94C0C" w:rsidRPr="002700B9">
        <w:rPr>
          <w:rFonts w:ascii="Arial" w:hAnsi="Arial" w:cs="Arial"/>
          <w:sz w:val="24"/>
          <w:szCs w:val="24"/>
          <w:lang w:val="x-none"/>
        </w:rPr>
        <w:t>prigovor</w:t>
      </w:r>
      <w:r w:rsidR="00D94C0C" w:rsidRPr="002700B9">
        <w:rPr>
          <w:rFonts w:ascii="Arial" w:hAnsi="Arial" w:cs="Arial"/>
          <w:sz w:val="24"/>
          <w:szCs w:val="24"/>
        </w:rPr>
        <w:t xml:space="preserve"> pravovremen i sadrži sve što je određeno zakonom</w:t>
      </w:r>
      <w:r w:rsidR="00D94C0C" w:rsidRPr="002700B9">
        <w:rPr>
          <w:rFonts w:ascii="Arial" w:hAnsi="Arial" w:cs="Arial"/>
          <w:sz w:val="24"/>
          <w:szCs w:val="24"/>
          <w:lang w:val="x-none"/>
        </w:rPr>
        <w:t xml:space="preserve"> </w:t>
      </w:r>
      <w:r w:rsidR="00D94C0C" w:rsidRPr="002700B9">
        <w:rPr>
          <w:rFonts w:ascii="Arial" w:hAnsi="Arial" w:cs="Arial"/>
          <w:sz w:val="24"/>
          <w:szCs w:val="24"/>
        </w:rPr>
        <w:t xml:space="preserve">te </w:t>
      </w:r>
      <w:r w:rsidR="00D94C0C" w:rsidRPr="002700B9">
        <w:rPr>
          <w:rFonts w:ascii="Arial" w:hAnsi="Arial" w:cs="Arial"/>
          <w:sz w:val="24"/>
          <w:szCs w:val="24"/>
          <w:lang w:val="x-none"/>
        </w:rPr>
        <w:t xml:space="preserve">ako </w:t>
      </w:r>
      <w:r w:rsidR="005D3315" w:rsidRPr="002700B9">
        <w:rPr>
          <w:rFonts w:ascii="Arial" w:hAnsi="Arial" w:cs="Arial"/>
          <w:sz w:val="24"/>
          <w:szCs w:val="24"/>
        </w:rPr>
        <w:t xml:space="preserve">podnositelj prigovora njegovu </w:t>
      </w:r>
      <w:r w:rsidR="00D94C0C" w:rsidRPr="002700B9">
        <w:rPr>
          <w:rFonts w:ascii="Arial" w:hAnsi="Arial" w:cs="Arial"/>
          <w:sz w:val="24"/>
          <w:szCs w:val="24"/>
          <w:lang w:val="x-none"/>
        </w:rPr>
        <w:t>osnovanost dokazuje javnom ili javno ovjerovljenom ispravom, sud će prigovor utvrditi osnovanim.</w:t>
      </w:r>
      <w:r w:rsidR="007D58A6" w:rsidRPr="002700B9">
        <w:rPr>
          <w:rStyle w:val="Referencafusnote"/>
          <w:rFonts w:ascii="Arial" w:hAnsi="Arial" w:cs="Arial"/>
          <w:sz w:val="24"/>
          <w:szCs w:val="24"/>
          <w:lang w:val="x-none"/>
        </w:rPr>
        <w:footnoteReference w:id="136"/>
      </w:r>
      <w:r w:rsidR="00D94C0C" w:rsidRPr="002700B9">
        <w:rPr>
          <w:rFonts w:ascii="Arial" w:hAnsi="Arial" w:cs="Arial"/>
          <w:sz w:val="24"/>
          <w:szCs w:val="24"/>
          <w:lang w:val="x-none"/>
        </w:rPr>
        <w:t xml:space="preserve"> </w:t>
      </w:r>
      <w:r w:rsidR="00D94C0C" w:rsidRPr="00AE47B8">
        <w:rPr>
          <w:rFonts w:ascii="Arial" w:hAnsi="Arial" w:cs="Arial"/>
          <w:color w:val="000000" w:themeColor="text1"/>
          <w:sz w:val="24"/>
          <w:szCs w:val="24"/>
          <w:lang w:val="x-none"/>
        </w:rPr>
        <w:t>Protiv rješenja kojim je sud utvrdio prigovor osnovanim posebna žalba nije dopuštena, a rješenje se može pobijati samo u žalbi protiv rješenja o obustavi postupka.</w:t>
      </w:r>
      <w:r w:rsidR="005D3315" w:rsidRPr="00AE47B8">
        <w:rPr>
          <w:rFonts w:ascii="Arial" w:hAnsi="Arial" w:cs="Arial"/>
          <w:color w:val="000000" w:themeColor="text1"/>
          <w:sz w:val="24"/>
          <w:szCs w:val="24"/>
        </w:rPr>
        <w:t xml:space="preserve"> Zašto protiv rješenja o obustavi postupka </w:t>
      </w:r>
      <w:r w:rsidR="005D3315" w:rsidRPr="002700B9">
        <w:rPr>
          <w:rFonts w:ascii="Arial" w:hAnsi="Arial" w:cs="Arial"/>
          <w:sz w:val="24"/>
          <w:szCs w:val="24"/>
        </w:rPr>
        <w:t xml:space="preserve">? Zato što je sud dužan obustaviti </w:t>
      </w:r>
      <w:proofErr w:type="spellStart"/>
      <w:r w:rsidR="005D3315" w:rsidRPr="002700B9">
        <w:rPr>
          <w:rFonts w:ascii="Arial" w:hAnsi="Arial" w:cs="Arial"/>
          <w:sz w:val="24"/>
          <w:szCs w:val="24"/>
        </w:rPr>
        <w:t>predstečajni</w:t>
      </w:r>
      <w:proofErr w:type="spellEnd"/>
      <w:r w:rsidR="005D3315" w:rsidRPr="002700B9">
        <w:rPr>
          <w:rFonts w:ascii="Arial" w:hAnsi="Arial" w:cs="Arial"/>
          <w:sz w:val="24"/>
          <w:szCs w:val="24"/>
        </w:rPr>
        <w:t xml:space="preserve"> postupak ako je iznos tražbina radnika i prijašnjih dužnikovih radnika koji je dužnik naveo u prijedlogu za otvaranje </w:t>
      </w:r>
      <w:proofErr w:type="spellStart"/>
      <w:r w:rsidR="005D3315" w:rsidRPr="002700B9">
        <w:rPr>
          <w:rFonts w:ascii="Arial" w:hAnsi="Arial" w:cs="Arial"/>
          <w:sz w:val="24"/>
          <w:szCs w:val="24"/>
        </w:rPr>
        <w:t>predstečajnog</w:t>
      </w:r>
      <w:proofErr w:type="spellEnd"/>
      <w:r w:rsidR="005D3315" w:rsidRPr="002700B9">
        <w:rPr>
          <w:rFonts w:ascii="Arial" w:hAnsi="Arial" w:cs="Arial"/>
          <w:sz w:val="24"/>
          <w:szCs w:val="24"/>
        </w:rPr>
        <w:t xml:space="preserve"> postupka za 10% manji od iznosa tražbina radnika i prijašnjih dužnikovih radnika koje je utvrdio sud na temelju prigovora radnika</w:t>
      </w:r>
      <w:r w:rsidR="00CD6A29" w:rsidRPr="002700B9">
        <w:rPr>
          <w:rStyle w:val="Referencafusnote"/>
          <w:rFonts w:ascii="Arial" w:hAnsi="Arial" w:cs="Arial"/>
          <w:sz w:val="24"/>
          <w:szCs w:val="24"/>
        </w:rPr>
        <w:footnoteReference w:id="137"/>
      </w:r>
      <w:r w:rsidR="005D3315" w:rsidRPr="002700B9">
        <w:rPr>
          <w:rFonts w:ascii="Arial" w:hAnsi="Arial" w:cs="Arial"/>
          <w:sz w:val="24"/>
          <w:szCs w:val="24"/>
        </w:rPr>
        <w:t xml:space="preserve">. S druge strane, ako je iznos tražbina radnika i prijašnjih dužnikovih radnika koji je dužnik naveo u prijedlogu za otvaranje </w:t>
      </w:r>
      <w:proofErr w:type="spellStart"/>
      <w:r w:rsidR="005D3315" w:rsidRPr="002700B9">
        <w:rPr>
          <w:rFonts w:ascii="Arial" w:hAnsi="Arial" w:cs="Arial"/>
          <w:sz w:val="24"/>
          <w:szCs w:val="24"/>
        </w:rPr>
        <w:t>predstečajnog</w:t>
      </w:r>
      <w:proofErr w:type="spellEnd"/>
      <w:r w:rsidR="005D3315" w:rsidRPr="002700B9">
        <w:rPr>
          <w:rFonts w:ascii="Arial" w:hAnsi="Arial" w:cs="Arial"/>
          <w:sz w:val="24"/>
          <w:szCs w:val="24"/>
        </w:rPr>
        <w:t xml:space="preserve"> postupka </w:t>
      </w:r>
      <w:r w:rsidR="00CD6A29" w:rsidRPr="002700B9">
        <w:rPr>
          <w:rFonts w:ascii="Arial" w:hAnsi="Arial" w:cs="Arial"/>
          <w:sz w:val="24"/>
          <w:szCs w:val="24"/>
        </w:rPr>
        <w:t xml:space="preserve">veći od 90% </w:t>
      </w:r>
      <w:r w:rsidR="005D3315" w:rsidRPr="002700B9">
        <w:rPr>
          <w:rFonts w:ascii="Arial" w:hAnsi="Arial" w:cs="Arial"/>
          <w:sz w:val="24"/>
          <w:szCs w:val="24"/>
        </w:rPr>
        <w:t xml:space="preserve">od </w:t>
      </w:r>
      <w:r w:rsidR="00CD6A29" w:rsidRPr="002700B9">
        <w:rPr>
          <w:rFonts w:ascii="Arial" w:hAnsi="Arial" w:cs="Arial"/>
          <w:sz w:val="24"/>
          <w:szCs w:val="24"/>
        </w:rPr>
        <w:t xml:space="preserve">ukupnog </w:t>
      </w:r>
      <w:r w:rsidR="005D3315" w:rsidRPr="002700B9">
        <w:rPr>
          <w:rFonts w:ascii="Arial" w:hAnsi="Arial" w:cs="Arial"/>
          <w:sz w:val="24"/>
          <w:szCs w:val="24"/>
        </w:rPr>
        <w:t>iznosa tražbina radnika i prijašnjih dužnikovih radnika koje je utvrdio sud na temelju prigovora radnika, sud neće obustavi</w:t>
      </w:r>
      <w:r w:rsidR="008C2690" w:rsidRPr="002700B9">
        <w:rPr>
          <w:rFonts w:ascii="Arial" w:hAnsi="Arial" w:cs="Arial"/>
          <w:sz w:val="24"/>
          <w:szCs w:val="24"/>
        </w:rPr>
        <w:t>ti</w:t>
      </w:r>
      <w:r w:rsidR="005D3315" w:rsidRPr="002700B9">
        <w:rPr>
          <w:rFonts w:ascii="Arial" w:hAnsi="Arial" w:cs="Arial"/>
          <w:sz w:val="24"/>
          <w:szCs w:val="24"/>
        </w:rPr>
        <w:t xml:space="preserve"> </w:t>
      </w:r>
      <w:proofErr w:type="spellStart"/>
      <w:r w:rsidR="005D3315" w:rsidRPr="002700B9">
        <w:rPr>
          <w:rFonts w:ascii="Arial" w:hAnsi="Arial" w:cs="Arial"/>
          <w:sz w:val="24"/>
          <w:szCs w:val="24"/>
        </w:rPr>
        <w:t>predstečajni</w:t>
      </w:r>
      <w:proofErr w:type="spellEnd"/>
      <w:r w:rsidR="005D3315" w:rsidRPr="002700B9">
        <w:rPr>
          <w:rFonts w:ascii="Arial" w:hAnsi="Arial" w:cs="Arial"/>
          <w:sz w:val="24"/>
          <w:szCs w:val="24"/>
        </w:rPr>
        <w:t xml:space="preserve"> postupak pa </w:t>
      </w:r>
      <w:r w:rsidR="00EB783D" w:rsidRPr="002700B9">
        <w:rPr>
          <w:rFonts w:ascii="Arial" w:hAnsi="Arial" w:cs="Arial"/>
          <w:sz w:val="24"/>
          <w:szCs w:val="24"/>
        </w:rPr>
        <w:t xml:space="preserve">u tom slučaju </w:t>
      </w:r>
      <w:r w:rsidR="005D3315" w:rsidRPr="002700B9">
        <w:rPr>
          <w:rFonts w:ascii="Arial" w:hAnsi="Arial" w:cs="Arial"/>
          <w:sz w:val="24"/>
          <w:szCs w:val="24"/>
        </w:rPr>
        <w:t xml:space="preserve">žalba </w:t>
      </w:r>
      <w:r w:rsidR="00CD4E70" w:rsidRPr="002700B9">
        <w:rPr>
          <w:rFonts w:ascii="Arial" w:hAnsi="Arial" w:cs="Arial"/>
          <w:sz w:val="24"/>
          <w:szCs w:val="24"/>
        </w:rPr>
        <w:t xml:space="preserve">protiv rješenja kojim je prigovor </w:t>
      </w:r>
      <w:r w:rsidR="00EB783D" w:rsidRPr="002700B9">
        <w:rPr>
          <w:rFonts w:ascii="Arial" w:hAnsi="Arial" w:cs="Arial"/>
          <w:sz w:val="24"/>
          <w:szCs w:val="24"/>
        </w:rPr>
        <w:t xml:space="preserve">vjerovnika </w:t>
      </w:r>
      <w:r w:rsidR="00CD4E70" w:rsidRPr="002700B9">
        <w:rPr>
          <w:rFonts w:ascii="Arial" w:hAnsi="Arial" w:cs="Arial"/>
          <w:sz w:val="24"/>
          <w:szCs w:val="24"/>
        </w:rPr>
        <w:t xml:space="preserve">utvrđen osnovanim </w:t>
      </w:r>
      <w:r w:rsidR="005D3315" w:rsidRPr="002700B9">
        <w:rPr>
          <w:rFonts w:ascii="Arial" w:hAnsi="Arial" w:cs="Arial"/>
          <w:sz w:val="24"/>
          <w:szCs w:val="24"/>
        </w:rPr>
        <w:t xml:space="preserve">nije dopuštena jer </w:t>
      </w:r>
      <w:r w:rsidR="00EB783D" w:rsidRPr="002700B9">
        <w:rPr>
          <w:rFonts w:ascii="Arial" w:hAnsi="Arial" w:cs="Arial"/>
          <w:sz w:val="24"/>
          <w:szCs w:val="24"/>
        </w:rPr>
        <w:t xml:space="preserve">sud nije donio </w:t>
      </w:r>
      <w:r w:rsidR="005D3315" w:rsidRPr="002700B9">
        <w:rPr>
          <w:rFonts w:ascii="Arial" w:hAnsi="Arial" w:cs="Arial"/>
          <w:sz w:val="24"/>
          <w:szCs w:val="24"/>
        </w:rPr>
        <w:t>rješenj</w:t>
      </w:r>
      <w:r w:rsidR="00EB783D" w:rsidRPr="002700B9">
        <w:rPr>
          <w:rFonts w:ascii="Arial" w:hAnsi="Arial" w:cs="Arial"/>
          <w:sz w:val="24"/>
          <w:szCs w:val="24"/>
        </w:rPr>
        <w:t>e</w:t>
      </w:r>
      <w:r w:rsidR="005D3315" w:rsidRPr="002700B9">
        <w:rPr>
          <w:rFonts w:ascii="Arial" w:hAnsi="Arial" w:cs="Arial"/>
          <w:sz w:val="24"/>
          <w:szCs w:val="24"/>
        </w:rPr>
        <w:t xml:space="preserve"> o obustavi postupka.</w:t>
      </w:r>
      <w:r w:rsidR="00F55122">
        <w:rPr>
          <w:rFonts w:ascii="Arial" w:hAnsi="Arial" w:cs="Arial"/>
          <w:sz w:val="24"/>
          <w:szCs w:val="24"/>
        </w:rPr>
        <w:t xml:space="preserve"> Žalbu protiv rješenja o utvrđenju osnovanosti prigovora može podnijeti dužnik</w:t>
      </w:r>
      <w:r w:rsidR="00BE4CE5">
        <w:rPr>
          <w:rFonts w:ascii="Arial" w:hAnsi="Arial" w:cs="Arial"/>
          <w:sz w:val="24"/>
          <w:szCs w:val="24"/>
        </w:rPr>
        <w:t>.</w:t>
      </w:r>
    </w:p>
    <w:p w:rsidR="00965605" w:rsidRPr="002700B9" w:rsidRDefault="00081010" w:rsidP="007D58A6">
      <w:pPr>
        <w:autoSpaceDE w:val="0"/>
        <w:autoSpaceDN w:val="0"/>
        <w:adjustRightInd w:val="0"/>
        <w:spacing w:before="120" w:after="120" w:line="240" w:lineRule="auto"/>
        <w:ind w:firstLine="708"/>
        <w:jc w:val="both"/>
        <w:rPr>
          <w:rFonts w:ascii="Arial" w:hAnsi="Arial" w:cs="Arial"/>
          <w:sz w:val="24"/>
          <w:szCs w:val="24"/>
        </w:rPr>
      </w:pPr>
      <w:r>
        <w:rPr>
          <w:rFonts w:ascii="Arial" w:hAnsi="Arial" w:cs="Arial"/>
          <w:sz w:val="24"/>
          <w:szCs w:val="24"/>
        </w:rPr>
        <w:t>Zakon o izmjenama i dopu</w:t>
      </w:r>
      <w:r w:rsidR="00BE4CE5">
        <w:rPr>
          <w:rFonts w:ascii="Arial" w:hAnsi="Arial" w:cs="Arial"/>
          <w:sz w:val="24"/>
          <w:szCs w:val="24"/>
        </w:rPr>
        <w:t>nama Stečajnog zakona odredbom članka 15. stavak 1. brisao je točke 2., 3. i 4. u članku 64. stavak 1. točka SZ-a u kojima je bilo propisano da će sud obustaviti postupak ako su ispunjene određene zakonske pretpostavke. Budući da sud više nema ovlasti obustaviti postupak ako je iznos tražbina radnika i prijašnjih dužnikovih radnika koju je prijavio dužnik za 10% manja od iznosa tražbina radnika i prijašnjih dužnikovih radnika koje je utvrdio sud na temelju prigovora radnika, nije jasno zašto zakonodavac nije izmijenio i odredbu članka 37. stavak 5. SZ-a u kojoj je navedeno da s</w:t>
      </w:r>
      <w:r>
        <w:rPr>
          <w:rFonts w:ascii="Arial" w:hAnsi="Arial" w:cs="Arial"/>
          <w:sz w:val="24"/>
          <w:szCs w:val="24"/>
        </w:rPr>
        <w:t>e rješenje suda kojim je utvrdi</w:t>
      </w:r>
      <w:r w:rsidR="00BE4CE5">
        <w:rPr>
          <w:rFonts w:ascii="Arial" w:hAnsi="Arial" w:cs="Arial"/>
          <w:sz w:val="24"/>
          <w:szCs w:val="24"/>
        </w:rPr>
        <w:t>o prigovor osnovanim može pobijati samo u žalbi protiv rješenja o obustavi postupka, jer obustava postupka više nije moguća iz navedenog razloga. To otvara i daljnje pitanje na koji način dužnik može pobijati odluku suda kojom je uvažio prigovor radnika, ako i dalje posebna žalba nije dopuštena.</w:t>
      </w:r>
    </w:p>
    <w:p w:rsidR="00E722C9" w:rsidRPr="002700B9" w:rsidRDefault="00965605" w:rsidP="00D94C0C">
      <w:pPr>
        <w:autoSpaceDE w:val="0"/>
        <w:autoSpaceDN w:val="0"/>
        <w:adjustRightInd w:val="0"/>
        <w:spacing w:before="120" w:after="120" w:line="240" w:lineRule="auto"/>
        <w:jc w:val="both"/>
        <w:rPr>
          <w:rFonts w:ascii="Arial" w:hAnsi="Arial" w:cs="Arial"/>
          <w:sz w:val="24"/>
          <w:szCs w:val="24"/>
        </w:rPr>
      </w:pPr>
      <w:r w:rsidRPr="002700B9">
        <w:rPr>
          <w:rFonts w:ascii="Arial" w:hAnsi="Arial" w:cs="Arial"/>
          <w:sz w:val="24"/>
          <w:szCs w:val="24"/>
        </w:rPr>
        <w:tab/>
        <w:t>A</w:t>
      </w:r>
      <w:proofErr w:type="spellStart"/>
      <w:r w:rsidR="00D94C0C" w:rsidRPr="002700B9">
        <w:rPr>
          <w:rFonts w:ascii="Arial" w:hAnsi="Arial" w:cs="Arial"/>
          <w:sz w:val="24"/>
          <w:szCs w:val="24"/>
          <w:lang w:val="x-none"/>
        </w:rPr>
        <w:t>ko</w:t>
      </w:r>
      <w:proofErr w:type="spellEnd"/>
      <w:r w:rsidR="00D94C0C" w:rsidRPr="002700B9">
        <w:rPr>
          <w:rFonts w:ascii="Arial" w:hAnsi="Arial" w:cs="Arial"/>
          <w:sz w:val="24"/>
          <w:szCs w:val="24"/>
          <w:lang w:val="x-none"/>
        </w:rPr>
        <w:t xml:space="preserve"> nisu ispunjene pretpostavke da </w:t>
      </w:r>
      <w:r w:rsidR="00864F4B" w:rsidRPr="002700B9">
        <w:rPr>
          <w:rFonts w:ascii="Arial" w:hAnsi="Arial" w:cs="Arial"/>
          <w:sz w:val="24"/>
          <w:szCs w:val="24"/>
        </w:rPr>
        <w:t xml:space="preserve">sud </w:t>
      </w:r>
      <w:r w:rsidR="00D94C0C" w:rsidRPr="002700B9">
        <w:rPr>
          <w:rFonts w:ascii="Arial" w:hAnsi="Arial" w:cs="Arial"/>
          <w:sz w:val="24"/>
          <w:szCs w:val="24"/>
          <w:lang w:val="x-none"/>
        </w:rPr>
        <w:t xml:space="preserve">prigovor </w:t>
      </w:r>
      <w:r w:rsidR="00190BC2" w:rsidRPr="002700B9">
        <w:rPr>
          <w:rFonts w:ascii="Arial" w:hAnsi="Arial" w:cs="Arial"/>
          <w:sz w:val="24"/>
          <w:szCs w:val="24"/>
        </w:rPr>
        <w:t xml:space="preserve">vjerovnika ili Ministarstva financija </w:t>
      </w:r>
      <w:r w:rsidR="00D94C0C" w:rsidRPr="002700B9">
        <w:rPr>
          <w:rFonts w:ascii="Arial" w:hAnsi="Arial" w:cs="Arial"/>
          <w:sz w:val="24"/>
          <w:szCs w:val="24"/>
          <w:lang w:val="x-none"/>
        </w:rPr>
        <w:t xml:space="preserve">utvrdi osnovanim, sud će zaključkom uputiti podnositelja prigovora da svoju tražbinu može ostvarivati bez obzira na vođenje </w:t>
      </w:r>
      <w:proofErr w:type="spellStart"/>
      <w:r w:rsidR="00D94C0C" w:rsidRPr="002700B9">
        <w:rPr>
          <w:rFonts w:ascii="Arial" w:hAnsi="Arial" w:cs="Arial"/>
          <w:sz w:val="24"/>
          <w:szCs w:val="24"/>
          <w:lang w:val="x-none"/>
        </w:rPr>
        <w:t>predstečajnog</w:t>
      </w:r>
      <w:proofErr w:type="spellEnd"/>
      <w:r w:rsidR="00D94C0C" w:rsidRPr="002700B9">
        <w:rPr>
          <w:rFonts w:ascii="Arial" w:hAnsi="Arial" w:cs="Arial"/>
          <w:sz w:val="24"/>
          <w:szCs w:val="24"/>
          <w:lang w:val="x-none"/>
        </w:rPr>
        <w:t xml:space="preserve"> postupka. Sud će sve podnesene prigovore i odluke donesene po prigovorima objaviti na mrežnoj stranici e-Oglasna ploča sudova.</w:t>
      </w:r>
    </w:p>
    <w:p w:rsidR="00EA5BE0" w:rsidRPr="008B62AB" w:rsidRDefault="00EA5BE0" w:rsidP="00D94C0C">
      <w:pPr>
        <w:autoSpaceDE w:val="0"/>
        <w:autoSpaceDN w:val="0"/>
        <w:adjustRightInd w:val="0"/>
        <w:spacing w:before="120" w:after="120" w:line="240" w:lineRule="auto"/>
        <w:jc w:val="both"/>
        <w:rPr>
          <w:rFonts w:ascii="Times New Roman" w:hAnsi="Times New Roman" w:cs="Times New Roman"/>
          <w:sz w:val="24"/>
          <w:szCs w:val="24"/>
        </w:rPr>
      </w:pPr>
    </w:p>
    <w:p w:rsidR="002E3791" w:rsidRDefault="00281FC4" w:rsidP="00281FC4">
      <w:pPr>
        <w:pStyle w:val="Naslov3"/>
      </w:pPr>
      <w:bookmarkStart w:id="26" w:name="_Toc507067624"/>
      <w:r>
        <w:t xml:space="preserve">2.3.3. </w:t>
      </w:r>
      <w:r w:rsidR="00E722C9" w:rsidRPr="00281FC4">
        <w:t>Jamci</w:t>
      </w:r>
      <w:bookmarkEnd w:id="26"/>
      <w:r w:rsidR="00D94C0C" w:rsidRPr="00281FC4">
        <w:rPr>
          <w:lang w:val="x-none"/>
        </w:rPr>
        <w:t xml:space="preserve"> </w:t>
      </w:r>
    </w:p>
    <w:p w:rsidR="00281FC4" w:rsidRPr="00281FC4" w:rsidRDefault="00281FC4" w:rsidP="00281FC4"/>
    <w:p w:rsidR="00265E72" w:rsidRDefault="00C57425" w:rsidP="002E39E0">
      <w:pPr>
        <w:pStyle w:val="Bezproreda"/>
        <w:ind w:firstLine="708"/>
        <w:jc w:val="both"/>
      </w:pPr>
      <w:r w:rsidRPr="00F93175">
        <w:t xml:space="preserve">Pravni položaj jamaca u </w:t>
      </w:r>
      <w:proofErr w:type="spellStart"/>
      <w:r w:rsidRPr="00F93175">
        <w:t>predstečajnom</w:t>
      </w:r>
      <w:proofErr w:type="spellEnd"/>
      <w:r w:rsidRPr="00F93175">
        <w:t xml:space="preserve"> postupku nije u potpunosti uređen Stečajnim zakonom pa se moraju primjenjivati odredbe Zakona o obveznim odnosima</w:t>
      </w:r>
      <w:r w:rsidR="00A47CB5" w:rsidRPr="00F93175">
        <w:rPr>
          <w:rStyle w:val="Referencafusnote"/>
          <w:rFonts w:cs="Arial"/>
          <w:szCs w:val="24"/>
        </w:rPr>
        <w:footnoteReference w:id="138"/>
      </w:r>
      <w:r w:rsidRPr="00F93175">
        <w:t xml:space="preserve"> koje uređuju institut jamstva. </w:t>
      </w:r>
      <w:r w:rsidR="00265E72" w:rsidRPr="00F93175">
        <w:t xml:space="preserve">Jamstvo se spominje u mnogim granama prava (imovinsko, kazneno, prekršajno, porezno i druga). Institut jamstva ipak je najčešće u primjeni u imovinskom pravu. U kolokvijalnom govoru pojam „jamstvo“ ima dvojako značenje te može upućivati na dva posve različita pravna instituta koja su u svakodnevnom životu gotovo jednako zastupljena. U prvom slučaju Zakon o </w:t>
      </w:r>
      <w:r w:rsidR="00265E72" w:rsidRPr="00F93175">
        <w:lastRenderedPageBreak/>
        <w:t>obveznim odnosima</w:t>
      </w:r>
      <w:r w:rsidR="00265E72" w:rsidRPr="00F93175">
        <w:rPr>
          <w:rStyle w:val="FootnoteCharacters"/>
          <w:rFonts w:cs="Arial"/>
          <w:szCs w:val="24"/>
        </w:rPr>
        <w:footnoteReference w:id="139"/>
      </w:r>
      <w:r w:rsidR="00265E72" w:rsidRPr="00F93175">
        <w:t xml:space="preserve"> u Glavi VI. Odjeljak 1. Odsjek 6. uređuje institut jamstva kojim se jedna osoba obvezuje drugoj osobi (vjerovniku iz nekog drugog odnosa) da će ispuniti valjanu i dospjelu obvezu glavnog dužnika, ako to ovaj ne učini. U drugom slučaju riječ je o jamstvu za ispravnost prodane stvari (garanciji) na temelju kupoprodajnog ugovora za koju proizvođač i prodavatelj jamče kupcu njezinu ispravnost u tijeku određenog vremena, računajući od njezine predaje kupcu (Glava VIII. Odjeljak 2., odsjek 1)</w:t>
      </w:r>
      <w:r w:rsidR="00265E72" w:rsidRPr="00F93175">
        <w:rPr>
          <w:rStyle w:val="FootnoteCharacters"/>
          <w:rFonts w:cs="Arial"/>
          <w:szCs w:val="24"/>
        </w:rPr>
        <w:footnoteReference w:id="140"/>
      </w:r>
      <w:r w:rsidR="00265E72" w:rsidRPr="00F93175">
        <w:t xml:space="preserve">. U nastavku će biti riječi o jamstvu koje ima svrhu pojačavanja pozicije vjerovnika u </w:t>
      </w:r>
      <w:proofErr w:type="spellStart"/>
      <w:r w:rsidR="00265E72" w:rsidRPr="00F93175">
        <w:t>obveznopravnom</w:t>
      </w:r>
      <w:proofErr w:type="spellEnd"/>
      <w:r w:rsidR="00265E72" w:rsidRPr="00F93175">
        <w:t xml:space="preserve"> odnosu. </w:t>
      </w:r>
    </w:p>
    <w:p w:rsidR="002E39E0" w:rsidRPr="00F93175" w:rsidRDefault="002E39E0" w:rsidP="002E39E0">
      <w:pPr>
        <w:pStyle w:val="Bezproreda"/>
        <w:ind w:firstLine="708"/>
        <w:jc w:val="both"/>
      </w:pPr>
    </w:p>
    <w:p w:rsidR="00265E72" w:rsidRDefault="00265E72" w:rsidP="002E39E0">
      <w:pPr>
        <w:pStyle w:val="Bezproreda"/>
        <w:ind w:firstLine="708"/>
        <w:jc w:val="both"/>
      </w:pPr>
      <w:r w:rsidRPr="00F93175">
        <w:t xml:space="preserve">Rješenjem o otvaranju </w:t>
      </w:r>
      <w:proofErr w:type="spellStart"/>
      <w:r w:rsidRPr="00F93175">
        <w:t>predstečajnog</w:t>
      </w:r>
      <w:proofErr w:type="spellEnd"/>
      <w:r w:rsidRPr="00F93175">
        <w:t xml:space="preserve"> postupka pozivaju se vjerovnici dužnika (</w:t>
      </w:r>
      <w:proofErr w:type="spellStart"/>
      <w:r w:rsidRPr="00F93175">
        <w:rPr>
          <w:i/>
        </w:rPr>
        <w:t>op.autora</w:t>
      </w:r>
      <w:proofErr w:type="spellEnd"/>
      <w:r w:rsidRPr="00F93175">
        <w:rPr>
          <w:i/>
        </w:rPr>
        <w:t xml:space="preserve">: </w:t>
      </w:r>
      <w:proofErr w:type="spellStart"/>
      <w:r w:rsidRPr="00F93175">
        <w:rPr>
          <w:i/>
        </w:rPr>
        <w:t>nepozivaju</w:t>
      </w:r>
      <w:proofErr w:type="spellEnd"/>
      <w:r w:rsidRPr="00F93175">
        <w:rPr>
          <w:i/>
        </w:rPr>
        <w:t xml:space="preserve"> se osobni </w:t>
      </w:r>
      <w:proofErr w:type="spellStart"/>
      <w:r w:rsidRPr="00F93175">
        <w:rPr>
          <w:i/>
        </w:rPr>
        <w:t>vjeovnici</w:t>
      </w:r>
      <w:proofErr w:type="spellEnd"/>
      <w:r w:rsidRPr="00F93175">
        <w:rPr>
          <w:i/>
        </w:rPr>
        <w:t xml:space="preserve"> što bi bilo za očekivati imajući u vidu pojam vjerovnika u </w:t>
      </w:r>
      <w:proofErr w:type="spellStart"/>
      <w:r w:rsidRPr="00F93175">
        <w:rPr>
          <w:i/>
        </w:rPr>
        <w:t>pr</w:t>
      </w:r>
      <w:r w:rsidR="00A47CB5" w:rsidRPr="00F93175">
        <w:rPr>
          <w:i/>
        </w:rPr>
        <w:t>e</w:t>
      </w:r>
      <w:r w:rsidRPr="00F93175">
        <w:rPr>
          <w:i/>
        </w:rPr>
        <w:t>dstečajnom</w:t>
      </w:r>
      <w:proofErr w:type="spellEnd"/>
      <w:r w:rsidRPr="00F93175">
        <w:rPr>
          <w:i/>
        </w:rPr>
        <w:t xml:space="preserve"> postupku</w:t>
      </w:r>
      <w:r w:rsidRPr="00F93175">
        <w:t>) da nadležnoj jedinici FINA-e, u roku od 21 dana od dana dostave rješenja prijave svoje tražbine. Ako jamac nije ispunio dužnikovu obvezu gla</w:t>
      </w:r>
      <w:r w:rsidR="00E24479" w:rsidRPr="00F93175">
        <w:t>vnom vjerovniku ni</w:t>
      </w:r>
      <w:r w:rsidR="00A47CB5" w:rsidRPr="00F93175">
        <w:t xml:space="preserve"> djelomično do otvaranja </w:t>
      </w:r>
      <w:proofErr w:type="spellStart"/>
      <w:r w:rsidR="00A47CB5" w:rsidRPr="00F93175">
        <w:t>predstečajnog</w:t>
      </w:r>
      <w:proofErr w:type="spellEnd"/>
      <w:r w:rsidR="00A47CB5" w:rsidRPr="00F93175">
        <w:t xml:space="preserve"> postupka,</w:t>
      </w:r>
      <w:r w:rsidRPr="00F93175">
        <w:t xml:space="preserve"> jamac nije vjerovnik dužnika </w:t>
      </w:r>
      <w:r w:rsidR="006819CC">
        <w:t xml:space="preserve">u trenutku otvaranja </w:t>
      </w:r>
      <w:proofErr w:type="spellStart"/>
      <w:r w:rsidR="006819CC">
        <w:t>predstečajnog</w:t>
      </w:r>
      <w:proofErr w:type="spellEnd"/>
      <w:r w:rsidR="006819CC">
        <w:t xml:space="preserve"> postupka </w:t>
      </w:r>
      <w:r w:rsidRPr="00F93175">
        <w:t>pa se može zaključiti da se jamci i ne pozivaju da prijave tražbinu, jer u trenutku otv</w:t>
      </w:r>
      <w:r w:rsidR="00E24479" w:rsidRPr="00F93175">
        <w:t>a</w:t>
      </w:r>
      <w:r w:rsidRPr="00F93175">
        <w:t xml:space="preserve">ranja </w:t>
      </w:r>
      <w:proofErr w:type="spellStart"/>
      <w:r w:rsidRPr="00F93175">
        <w:t>pre</w:t>
      </w:r>
      <w:r w:rsidR="00E24479" w:rsidRPr="00F93175">
        <w:t>dstečajnog</w:t>
      </w:r>
      <w:proofErr w:type="spellEnd"/>
      <w:r w:rsidR="00E24479" w:rsidRPr="00F93175">
        <w:t xml:space="preserve"> postupka </w:t>
      </w:r>
      <w:r w:rsidRPr="00F93175">
        <w:t xml:space="preserve">nemaju tražbinu prema dužniku. </w:t>
      </w:r>
      <w:r w:rsidR="00A47CB5" w:rsidRPr="00F93175">
        <w:t xml:space="preserve">S druge strane, ako je jamac ispunio vjerovniku dužnikovu obvezu </w:t>
      </w:r>
      <w:r w:rsidR="00E24479" w:rsidRPr="00F93175">
        <w:t xml:space="preserve">u potpunosti ili u dijelu do otvaranja </w:t>
      </w:r>
      <w:proofErr w:type="spellStart"/>
      <w:r w:rsidR="00E24479" w:rsidRPr="00F93175">
        <w:t>pre</w:t>
      </w:r>
      <w:r w:rsidR="006819CC">
        <w:t>d</w:t>
      </w:r>
      <w:r w:rsidR="00E24479" w:rsidRPr="00F93175">
        <w:t>stečajnog</w:t>
      </w:r>
      <w:proofErr w:type="spellEnd"/>
      <w:r w:rsidR="00E24479" w:rsidRPr="00F93175">
        <w:t xml:space="preserve"> postupka nastupila je zakonska </w:t>
      </w:r>
      <w:proofErr w:type="spellStart"/>
      <w:r w:rsidR="00E24479" w:rsidRPr="00F93175">
        <w:t>subrogacija</w:t>
      </w:r>
      <w:proofErr w:type="spellEnd"/>
      <w:r w:rsidR="00E24479" w:rsidRPr="00F93175">
        <w:t xml:space="preserve"> i jamac stupa u pravni položaj vjerovnika čiju je tražbinu podmirio te je</w:t>
      </w:r>
      <w:r w:rsidR="006819CC">
        <w:t xml:space="preserve"> jamac postao vjerovnik dužnika i može podnijeti prijavu tražbine.</w:t>
      </w:r>
    </w:p>
    <w:p w:rsidR="002E39E0" w:rsidRPr="00F93175" w:rsidRDefault="002E39E0" w:rsidP="002E39E0">
      <w:pPr>
        <w:pStyle w:val="Bezproreda"/>
        <w:ind w:firstLine="708"/>
        <w:jc w:val="both"/>
      </w:pPr>
    </w:p>
    <w:p w:rsidR="00C57425" w:rsidRDefault="00C57425" w:rsidP="002E39E0">
      <w:pPr>
        <w:pStyle w:val="Bezproreda"/>
        <w:jc w:val="both"/>
      </w:pPr>
      <w:r w:rsidRPr="00F93175">
        <w:tab/>
        <w:t xml:space="preserve">ZFPPN-u je nakon prve novele Uredbe o izmjenama o dopunama ZFPPN iz 2012. </w:t>
      </w:r>
      <w:r w:rsidR="00265E72" w:rsidRPr="00F93175">
        <w:t xml:space="preserve">godine </w:t>
      </w:r>
      <w:r w:rsidRPr="00F93175">
        <w:t xml:space="preserve">uređivao pravni položaj jamaca i to odredbama koje su propisivale pravne posljedice otvaranja </w:t>
      </w:r>
      <w:proofErr w:type="spellStart"/>
      <w:r w:rsidRPr="00F93175">
        <w:t>predstečajnog</w:t>
      </w:r>
      <w:proofErr w:type="spellEnd"/>
      <w:r w:rsidRPr="00F93175">
        <w:t xml:space="preserve"> postupka, sklapanje </w:t>
      </w:r>
      <w:proofErr w:type="spellStart"/>
      <w:r w:rsidRPr="00F93175">
        <w:t>predstečajne</w:t>
      </w:r>
      <w:proofErr w:type="spellEnd"/>
      <w:r w:rsidRPr="00F93175">
        <w:t xml:space="preserve"> nagodbe te pravne učinke nagodbe. Odredbom članka 31. Uredbe </w:t>
      </w:r>
      <w:r w:rsidR="00265E72" w:rsidRPr="00F93175">
        <w:t xml:space="preserve">o izmjenama o dopunama ZFPPN iz 2012. godine </w:t>
      </w:r>
      <w:r w:rsidRPr="00F93175">
        <w:t xml:space="preserve">utvrđeno je pravo solidarnih dužnika, jamaca i banaka garanata/izdavatelja akreditiva da prijavljuju svoje dospjele i nedospjele tražbine s osnove jamstava, solidarnog </w:t>
      </w:r>
      <w:proofErr w:type="spellStart"/>
      <w:r w:rsidRPr="00F93175">
        <w:t>dužništva</w:t>
      </w:r>
      <w:proofErr w:type="spellEnd"/>
      <w:r w:rsidRPr="00F93175">
        <w:t xml:space="preserve">, garancija, akreditiva, s tim da po izvršenom plaćanju nakon sklapanja </w:t>
      </w:r>
      <w:proofErr w:type="spellStart"/>
      <w:r w:rsidRPr="00F93175">
        <w:t>predstečajne</w:t>
      </w:r>
      <w:proofErr w:type="spellEnd"/>
      <w:r w:rsidRPr="00F93175">
        <w:t xml:space="preserve"> nagodbe imaju pravo naplatiti tražbine od dužnika u skladu s </w:t>
      </w:r>
      <w:proofErr w:type="spellStart"/>
      <w:r w:rsidRPr="00F93175">
        <w:t>predstečajnom</w:t>
      </w:r>
      <w:proofErr w:type="spellEnd"/>
      <w:r w:rsidRPr="00F93175">
        <w:t xml:space="preserve"> nagodbom. Solidarni dužnici, jamci i banke garanti/izdavatelji akreditiva na osnovu prijavljenih potraživanja imali su pravo glasa po osnovi, solidarnog </w:t>
      </w:r>
      <w:proofErr w:type="spellStart"/>
      <w:r w:rsidRPr="00F93175">
        <w:t>dužništva</w:t>
      </w:r>
      <w:proofErr w:type="spellEnd"/>
      <w:r w:rsidRPr="00F93175">
        <w:t xml:space="preserve">, jamstva ili </w:t>
      </w:r>
      <w:proofErr w:type="spellStart"/>
      <w:r w:rsidRPr="00F93175">
        <w:t>garancija</w:t>
      </w:r>
      <w:r w:rsidR="006819CC">
        <w:t>e</w:t>
      </w:r>
      <w:proofErr w:type="spellEnd"/>
      <w:r w:rsidR="006819CC">
        <w:t xml:space="preserve"> </w:t>
      </w:r>
      <w:r w:rsidRPr="00F93175">
        <w:t xml:space="preserve">dane prije otvaranja postupka </w:t>
      </w:r>
      <w:proofErr w:type="spellStart"/>
      <w:r w:rsidRPr="00F93175">
        <w:t>predstečajne</w:t>
      </w:r>
      <w:proofErr w:type="spellEnd"/>
      <w:r w:rsidRPr="00F93175">
        <w:t xml:space="preserve"> nagodbe. Dakle, jamci su imali pravo glasa bez obzira što nisu podmirili </w:t>
      </w:r>
      <w:r w:rsidR="00E24479" w:rsidRPr="00F93175">
        <w:t>obveze</w:t>
      </w:r>
      <w:r w:rsidRPr="00F93175">
        <w:t xml:space="preserve"> dužnika za koje su jamčili. Stoga je pravni položaj jamaca u </w:t>
      </w:r>
      <w:proofErr w:type="spellStart"/>
      <w:r w:rsidRPr="00F93175">
        <w:t>predstečajnim</w:t>
      </w:r>
      <w:proofErr w:type="spellEnd"/>
      <w:r w:rsidRPr="00F93175">
        <w:t xml:space="preserve"> nagodbama bio povoljan ako im je dužnik priznao tražbinu.</w:t>
      </w:r>
      <w:r w:rsidR="00E24479" w:rsidRPr="00F93175">
        <w:t xml:space="preserve"> S druge strane, jamcima bi po izvršenom plaćanju nakon sklapanja </w:t>
      </w:r>
      <w:proofErr w:type="spellStart"/>
      <w:r w:rsidR="00E24479" w:rsidRPr="00F93175">
        <w:t>predstečajne</w:t>
      </w:r>
      <w:proofErr w:type="spellEnd"/>
      <w:r w:rsidR="00E24479" w:rsidRPr="00F93175">
        <w:t xml:space="preserve"> nagodbe mogli naplatiti tražbine od dužnika u skladu s </w:t>
      </w:r>
      <w:proofErr w:type="spellStart"/>
      <w:r w:rsidR="00E24479" w:rsidRPr="00F93175">
        <w:t>predstečajnom</w:t>
      </w:r>
      <w:proofErr w:type="spellEnd"/>
      <w:r w:rsidR="00E24479" w:rsidRPr="00F93175">
        <w:t xml:space="preserve"> nagodbom. </w:t>
      </w:r>
      <w:r w:rsidRPr="00F93175">
        <w:t>Međutim, uslijed višestrukog priznavanja istih tražbina s osnove jamstava (ista tražbina priznata i vjerovniku i jamcu) dolazilo je do brojnih manipulacija te znatnog oštećenja vjerovnika, posebno kroz institut povezanih osoba. Odredbom članka 45. Zakona o izmjenama o dopunama ZFPPN-a</w:t>
      </w:r>
      <w:r w:rsidRPr="00F93175">
        <w:rPr>
          <w:rStyle w:val="Referencafusnote"/>
          <w:rFonts w:cs="Arial"/>
          <w:szCs w:val="24"/>
        </w:rPr>
        <w:footnoteReference w:id="141"/>
      </w:r>
      <w:r w:rsidRPr="00F93175">
        <w:t xml:space="preserve"> izmijenjena je odredba članka 72.a ZFPPN-a. Solidarni dužnici, jamci, osobe s pravom regresa i banke garanti/izdavatelji i dalje su imali pravo u </w:t>
      </w:r>
      <w:proofErr w:type="spellStart"/>
      <w:r w:rsidRPr="00F93175">
        <w:t>predstečajnom</w:t>
      </w:r>
      <w:proofErr w:type="spellEnd"/>
      <w:r w:rsidRPr="00F93175">
        <w:t xml:space="preserve"> postupku prijaviti svoje dospjele tražbine, ali nisu imali pravo glasa ako je riječ o povezanim osobama. </w:t>
      </w:r>
      <w:r w:rsidR="00E24479" w:rsidRPr="00F93175">
        <w:t xml:space="preserve">Slijedom toga, jamci koji nisu povezane osobe s dužnikom i dalje su imali pravo glasa. </w:t>
      </w:r>
      <w:r w:rsidRPr="00F93175">
        <w:t xml:space="preserve">Nadalje, dužnik se na temelju sklopljene </w:t>
      </w:r>
      <w:proofErr w:type="spellStart"/>
      <w:r w:rsidRPr="00F93175">
        <w:t>predstečajne</w:t>
      </w:r>
      <w:proofErr w:type="spellEnd"/>
      <w:r w:rsidRPr="00F93175">
        <w:t xml:space="preserve"> nagodbe oslobađao obveze prema osobama kojima pripada pravo regresa u opsegu iz </w:t>
      </w:r>
      <w:proofErr w:type="spellStart"/>
      <w:r w:rsidRPr="00F93175">
        <w:t>predstečajne</w:t>
      </w:r>
      <w:proofErr w:type="spellEnd"/>
      <w:r w:rsidRPr="00F93175">
        <w:t xml:space="preserve"> nagodbe.</w:t>
      </w:r>
    </w:p>
    <w:p w:rsidR="002E39E0" w:rsidRPr="00F93175" w:rsidRDefault="002E39E0" w:rsidP="002E39E0">
      <w:pPr>
        <w:pStyle w:val="Bezproreda"/>
        <w:jc w:val="both"/>
      </w:pPr>
    </w:p>
    <w:p w:rsidR="00C57425" w:rsidRDefault="00C57425" w:rsidP="002E39E0">
      <w:pPr>
        <w:pStyle w:val="Bezproreda"/>
        <w:jc w:val="both"/>
      </w:pPr>
      <w:r w:rsidRPr="00F93175">
        <w:rPr>
          <w:rFonts w:ascii="Times New Roman" w:hAnsi="Times New Roman" w:cs="Times New Roman"/>
        </w:rPr>
        <w:tab/>
      </w:r>
      <w:r w:rsidRPr="00F93175">
        <w:t>Na jamca koji je podmirio vjerovnikovu tražbinu prelazi tražbina sa svim sporednim pravima i osiguranjima njezina ispunjenja</w:t>
      </w:r>
      <w:r w:rsidRPr="00F93175">
        <w:rPr>
          <w:rStyle w:val="FootnoteCharacters"/>
          <w:rFonts w:cs="Arial"/>
          <w:szCs w:val="24"/>
        </w:rPr>
        <w:footnoteReference w:id="142"/>
      </w:r>
      <w:r w:rsidRPr="00F93175">
        <w:t xml:space="preserve">. Ako jamac podmiri vjerovniku njegovu tražbinu prema dužniku do dana otvaranja </w:t>
      </w:r>
      <w:proofErr w:type="spellStart"/>
      <w:r w:rsidRPr="00F93175">
        <w:t>predstečajnog</w:t>
      </w:r>
      <w:proofErr w:type="spellEnd"/>
      <w:r w:rsidRPr="00F93175">
        <w:t xml:space="preserve"> postupka nad dužnikom, jamac je vjerovnik dužnika i može zahtijevati od dužnika naknadu i sve što je isplatio za njegov račun, a i kamate od dana isplate. Jamac ima obvezu, kao i svaki dužnikov vjerovnik, prijaviti svoju tražbinu u </w:t>
      </w:r>
      <w:proofErr w:type="spellStart"/>
      <w:r w:rsidRPr="00F93175">
        <w:t>predstečajnom</w:t>
      </w:r>
      <w:proofErr w:type="spellEnd"/>
      <w:r w:rsidRPr="00F93175">
        <w:t xml:space="preserve"> postupku te navesti pravnu osnovu tražbine i iznos dospjele tražbine. Jamac koji </w:t>
      </w:r>
      <w:r w:rsidR="00B05A07">
        <w:t xml:space="preserve">je u trenutku </w:t>
      </w:r>
      <w:r w:rsidR="00B05A07">
        <w:lastRenderedPageBreak/>
        <w:t>otvaranja</w:t>
      </w:r>
      <w:r w:rsidR="0027244F" w:rsidRPr="00F93175">
        <w:t xml:space="preserve"> </w:t>
      </w:r>
      <w:proofErr w:type="spellStart"/>
      <w:r w:rsidR="0027244F" w:rsidRPr="00F93175">
        <w:t>predstečajnog</w:t>
      </w:r>
      <w:proofErr w:type="spellEnd"/>
      <w:r w:rsidR="0027244F" w:rsidRPr="00F93175">
        <w:t xml:space="preserve"> postupka imao tražbinu prema dužniku s osnove jamstva, a </w:t>
      </w:r>
      <w:r w:rsidRPr="00F93175">
        <w:t xml:space="preserve">nije </w:t>
      </w:r>
      <w:r w:rsidR="0027244F" w:rsidRPr="00F93175">
        <w:t xml:space="preserve">ju </w:t>
      </w:r>
      <w:r w:rsidRPr="00F93175">
        <w:t xml:space="preserve">prijavu niti je njegova tražbina navedena u prijedlogu za otvaranje </w:t>
      </w:r>
      <w:proofErr w:type="spellStart"/>
      <w:r w:rsidRPr="00F93175">
        <w:t>predstečajnog</w:t>
      </w:r>
      <w:proofErr w:type="spellEnd"/>
      <w:r w:rsidRPr="00F93175">
        <w:t xml:space="preserve"> postupka ne može sudjelovati u </w:t>
      </w:r>
      <w:proofErr w:type="spellStart"/>
      <w:r w:rsidRPr="00F93175">
        <w:t>predstečajnom</w:t>
      </w:r>
      <w:proofErr w:type="spellEnd"/>
      <w:r w:rsidRPr="00F93175">
        <w:t xml:space="preserve"> postupku. Parnični, ovršni ili postupak osiguranja koje je jamac pokrenuo protiv dužnika prije otvaranja </w:t>
      </w:r>
      <w:proofErr w:type="spellStart"/>
      <w:r w:rsidRPr="00F93175">
        <w:t>predstečajnog</w:t>
      </w:r>
      <w:proofErr w:type="spellEnd"/>
      <w:r w:rsidRPr="00F93175">
        <w:t xml:space="preserve"> postupka radi namirenja ili osiguranja tražbine, prekidaju se danom otvaranja </w:t>
      </w:r>
      <w:proofErr w:type="spellStart"/>
      <w:r w:rsidRPr="00F93175">
        <w:t>predstečajnog</w:t>
      </w:r>
      <w:proofErr w:type="spellEnd"/>
      <w:r w:rsidRPr="00F93175">
        <w:t xml:space="preserve"> postupka. Postupci će se nastaviti samo pod uvjetom da je jamac prijavio tražbinu i ona bude osporena. </w:t>
      </w:r>
    </w:p>
    <w:p w:rsidR="002E39E0" w:rsidRPr="00F93175" w:rsidRDefault="002E39E0" w:rsidP="002E39E0">
      <w:pPr>
        <w:pStyle w:val="Bezproreda"/>
        <w:jc w:val="both"/>
      </w:pPr>
    </w:p>
    <w:p w:rsidR="00C57425" w:rsidRDefault="00C57425" w:rsidP="002E39E0">
      <w:pPr>
        <w:pStyle w:val="Bezproreda"/>
        <w:jc w:val="both"/>
      </w:pPr>
      <w:r w:rsidRPr="00F93175">
        <w:tab/>
        <w:t xml:space="preserve">Potvrđeni </w:t>
      </w:r>
      <w:proofErr w:type="spellStart"/>
      <w:r w:rsidRPr="00F93175">
        <w:t>predstečajni</w:t>
      </w:r>
      <w:proofErr w:type="spellEnd"/>
      <w:r w:rsidRPr="00F93175">
        <w:t xml:space="preserve"> sporazum ima učinak i prema jamcu kao vjerovniku koji zbog neprijavljivanja tražbine nije sudjelovao u postupku</w:t>
      </w:r>
      <w:r w:rsidRPr="00F93175">
        <w:rPr>
          <w:rStyle w:val="Referencafusnote"/>
          <w:rFonts w:cs="Arial"/>
          <w:szCs w:val="24"/>
        </w:rPr>
        <w:footnoteReference w:id="143"/>
      </w:r>
      <w:r w:rsidRPr="00F93175">
        <w:t xml:space="preserve"> te jamac koji nije prijavio svoju tražbinu istu neće moći namiriti od dužnika</w:t>
      </w:r>
      <w:r w:rsidRPr="00F93175">
        <w:rPr>
          <w:rStyle w:val="Referencafusnote"/>
          <w:rFonts w:cs="Arial"/>
          <w:szCs w:val="24"/>
        </w:rPr>
        <w:footnoteReference w:id="144"/>
      </w:r>
      <w:r w:rsidRPr="00F93175">
        <w:t>.</w:t>
      </w:r>
    </w:p>
    <w:p w:rsidR="002E39E0" w:rsidRPr="00F93175" w:rsidRDefault="002E39E0" w:rsidP="002E39E0">
      <w:pPr>
        <w:pStyle w:val="Bezproreda"/>
        <w:jc w:val="both"/>
      </w:pPr>
    </w:p>
    <w:p w:rsidR="00C57425" w:rsidRDefault="00C57425" w:rsidP="002E39E0">
      <w:pPr>
        <w:pStyle w:val="Bezproreda"/>
        <w:jc w:val="both"/>
      </w:pPr>
      <w:r w:rsidRPr="00F93175">
        <w:tab/>
        <w:t xml:space="preserve">Nije isključena mogućnost da jamac ispuni dužnikovu obvezu prema vjerovniku do otvaranja </w:t>
      </w:r>
      <w:proofErr w:type="spellStart"/>
      <w:r w:rsidRPr="00F93175">
        <w:t>predstečajnog</w:t>
      </w:r>
      <w:proofErr w:type="spellEnd"/>
      <w:r w:rsidRPr="00F93175">
        <w:t xml:space="preserve"> postupka nad dužnikom, ali o tome ne obavijesti dužnika niti prijavi svoju tražbinu u </w:t>
      </w:r>
      <w:proofErr w:type="spellStart"/>
      <w:r w:rsidRPr="00F93175">
        <w:t>predstečajnom</w:t>
      </w:r>
      <w:proofErr w:type="spellEnd"/>
      <w:r w:rsidRPr="00F93175">
        <w:t xml:space="preserve"> postupku. Dužnik može u neznanju o podmirenju vjerovnikove tražbine navesti vjerovnikovu tražbinu u prijedlogu za otvaranje </w:t>
      </w:r>
      <w:proofErr w:type="spellStart"/>
      <w:r w:rsidRPr="00F93175">
        <w:t>predstečajnog</w:t>
      </w:r>
      <w:proofErr w:type="spellEnd"/>
      <w:r w:rsidRPr="00F93175">
        <w:t xml:space="preserve"> postupka čime se tražbina smatra prijavljenom</w:t>
      </w:r>
      <w:r w:rsidRPr="00F93175">
        <w:rPr>
          <w:rStyle w:val="Referencafusnote"/>
          <w:rFonts w:cs="Arial"/>
          <w:szCs w:val="24"/>
        </w:rPr>
        <w:footnoteReference w:id="145"/>
      </w:r>
      <w:r w:rsidRPr="00F93175">
        <w:t>. Ako nitko od ovlaštenih osoba ne ospori vjerovniku njegovu tražbinu koja je podmirena ista se smatra utvrđenom</w:t>
      </w:r>
      <w:r w:rsidRPr="00F93175">
        <w:rPr>
          <w:rStyle w:val="Referencafusnote"/>
          <w:rFonts w:cs="Arial"/>
          <w:szCs w:val="24"/>
        </w:rPr>
        <w:footnoteReference w:id="146"/>
      </w:r>
      <w:r w:rsidRPr="00F93175">
        <w:t xml:space="preserve"> te će sud donijeti rješenje kojim će utvrditi vjerovnikovu tražbinu. Jamac može nakon donošenja rješenja o utvrđenim tražbinama obavijestiti sud i dužnika o podmirenju vjerovnikove tražbine i zahtijevati da stupi na mjesto vjerovnika u </w:t>
      </w:r>
      <w:proofErr w:type="spellStart"/>
      <w:r w:rsidRPr="00F93175">
        <w:t>predstečajnom</w:t>
      </w:r>
      <w:proofErr w:type="spellEnd"/>
      <w:r w:rsidRPr="00F93175">
        <w:t xml:space="preserve"> postupku. Može li jamac stupiti u pravni položaj vjerovnika i ostvarivati pravo glasa na ročištu za glasovanje o planu restrukturiranja; </w:t>
      </w:r>
      <w:r w:rsidR="00E7618F" w:rsidRPr="00F93175">
        <w:t xml:space="preserve">može li </w:t>
      </w:r>
      <w:r w:rsidRPr="00F93175">
        <w:t>p</w:t>
      </w:r>
      <w:r w:rsidR="00E7618F" w:rsidRPr="00F93175">
        <w:t>o</w:t>
      </w:r>
      <w:r w:rsidRPr="00F93175">
        <w:t xml:space="preserve">dnijeti žalbu protiv rješenja o potvrdi </w:t>
      </w:r>
      <w:proofErr w:type="spellStart"/>
      <w:r w:rsidRPr="00F93175">
        <w:t>predstečajnog</w:t>
      </w:r>
      <w:proofErr w:type="spellEnd"/>
      <w:r w:rsidRPr="00F93175">
        <w:t xml:space="preserve"> sporazuma te ima li pravo na namirenje tražbine u skladu s </w:t>
      </w:r>
      <w:proofErr w:type="spellStart"/>
      <w:r w:rsidRPr="00F93175">
        <w:t>predstečajnim</w:t>
      </w:r>
      <w:proofErr w:type="spellEnd"/>
      <w:r w:rsidRPr="00F93175">
        <w:t xml:space="preserve"> sporazumom ? Jamac koji je propustio prijaviti svoju tražbinu nema pravo sudjelovati u </w:t>
      </w:r>
      <w:proofErr w:type="spellStart"/>
      <w:r w:rsidRPr="00F93175">
        <w:t>predstečajnom</w:t>
      </w:r>
      <w:proofErr w:type="spellEnd"/>
      <w:r w:rsidRPr="00F93175">
        <w:t xml:space="preserve"> postupku na temelju svoje prijave tražbine. S druge strane, tražbina </w:t>
      </w:r>
      <w:r w:rsidR="00E7618F" w:rsidRPr="00F93175">
        <w:t xml:space="preserve">vjerovnika </w:t>
      </w:r>
      <w:r w:rsidR="00B05A07">
        <w:t xml:space="preserve">je utvrđena </w:t>
      </w:r>
      <w:r w:rsidR="00E7618F" w:rsidRPr="00F93175">
        <w:t xml:space="preserve">iako je ista podmirena od strane jamca </w:t>
      </w:r>
      <w:r w:rsidR="006819CC">
        <w:t xml:space="preserve">prije otvaranja </w:t>
      </w:r>
      <w:proofErr w:type="spellStart"/>
      <w:r w:rsidR="006819CC">
        <w:t>predstečajnog</w:t>
      </w:r>
      <w:proofErr w:type="spellEnd"/>
      <w:r w:rsidRPr="00F93175">
        <w:t xml:space="preserve"> postupka. Rješenje nastale situacije treba tražiti u odredbama Zakona o obveznim odnosima. Budući da na jamca koji je podmirio vjerovnikovu tražbinu prelazi ta tražbina sa svim sporednim pravima i osiguranjima njezina ispunjenja</w:t>
      </w:r>
      <w:r w:rsidR="006819CC">
        <w:t>,</w:t>
      </w:r>
      <w:r w:rsidRPr="00F93175">
        <w:t xml:space="preserve"> jamcu treba dopustiti da stupi na mjesto vjerovnika i ostvaruje sva</w:t>
      </w:r>
      <w:r w:rsidR="006819CC">
        <w:t xml:space="preserve"> prava u nastavku </w:t>
      </w:r>
      <w:proofErr w:type="spellStart"/>
      <w:r w:rsidR="006819CC">
        <w:t>predstečajnog</w:t>
      </w:r>
      <w:proofErr w:type="spellEnd"/>
      <w:r w:rsidRPr="00F93175">
        <w:t xml:space="preserve"> postupka</w:t>
      </w:r>
      <w:r w:rsidRPr="00F93175">
        <w:rPr>
          <w:rStyle w:val="Referencafusnote"/>
          <w:rFonts w:cs="Arial"/>
          <w:szCs w:val="24"/>
        </w:rPr>
        <w:footnoteReference w:id="147"/>
      </w:r>
      <w:r w:rsidRPr="00F93175">
        <w:t xml:space="preserve">. Međutim, ako jamac propusti obavijestiti sud, dužnika ili povjerenika o podmirenju </w:t>
      </w:r>
      <w:r w:rsidR="00E7618F" w:rsidRPr="00F93175">
        <w:t xml:space="preserve">tražbine </w:t>
      </w:r>
      <w:r w:rsidR="00B05A07">
        <w:t>vjerovniku</w:t>
      </w:r>
      <w:r w:rsidRPr="00F93175">
        <w:t xml:space="preserve">, sva prava u </w:t>
      </w:r>
      <w:proofErr w:type="spellStart"/>
      <w:r w:rsidRPr="00F93175">
        <w:t>predstečajnom</w:t>
      </w:r>
      <w:proofErr w:type="spellEnd"/>
      <w:r w:rsidRPr="00F93175">
        <w:t xml:space="preserve"> postupku ostvaruje vjerovnik.  Ako dužnik u neznanju da je jamac podmirio tražbinu istu ponovno podmiri </w:t>
      </w:r>
      <w:r w:rsidR="00B05A07">
        <w:t>vjerovnik</w:t>
      </w:r>
      <w:r w:rsidR="00B05A07" w:rsidRPr="00F93175">
        <w:t xml:space="preserve">u </w:t>
      </w:r>
      <w:r w:rsidRPr="00F93175">
        <w:t xml:space="preserve">u skladu s </w:t>
      </w:r>
      <w:proofErr w:type="spellStart"/>
      <w:r w:rsidRPr="00F93175">
        <w:t>predstečajnim</w:t>
      </w:r>
      <w:proofErr w:type="spellEnd"/>
      <w:r w:rsidRPr="00F93175">
        <w:t xml:space="preserve"> sporazumom, jamac ne bi mogao zahtijevati naknadu od dužnika, ali bi imao pravo zahtijevati od vjerovnika da mu vrati ono što je podmirio</w:t>
      </w:r>
      <w:r w:rsidR="00E7618F" w:rsidRPr="00F93175">
        <w:t xml:space="preserve"> kao povrat stečenog bez pravne osnove</w:t>
      </w:r>
      <w:r w:rsidRPr="00F93175">
        <w:t>, ali samo do v</w:t>
      </w:r>
      <w:r w:rsidR="00B05A07">
        <w:t>isine koji je vjerovniku isplaćen u skladu s</w:t>
      </w:r>
      <w:r w:rsidRPr="00F93175">
        <w:t xml:space="preserve"> </w:t>
      </w:r>
      <w:proofErr w:type="spellStart"/>
      <w:r w:rsidRPr="00F93175">
        <w:t>predstečajnim</w:t>
      </w:r>
      <w:proofErr w:type="spellEnd"/>
      <w:r w:rsidRPr="00F93175">
        <w:t xml:space="preserve"> sporazumom.</w:t>
      </w:r>
    </w:p>
    <w:p w:rsidR="002E39E0" w:rsidRPr="00F93175" w:rsidRDefault="002E39E0" w:rsidP="002E39E0">
      <w:pPr>
        <w:pStyle w:val="Bezproreda"/>
        <w:jc w:val="both"/>
      </w:pPr>
    </w:p>
    <w:p w:rsidR="00C57425" w:rsidRPr="004E3F02" w:rsidRDefault="00C57425" w:rsidP="002E39E0">
      <w:pPr>
        <w:pStyle w:val="Bezproreda"/>
        <w:jc w:val="both"/>
      </w:pPr>
      <w:r w:rsidRPr="00F93175">
        <w:t xml:space="preserve">   </w:t>
      </w:r>
      <w:r w:rsidRPr="00F93175">
        <w:tab/>
        <w:t>Nije rijedak slučaj d</w:t>
      </w:r>
      <w:r w:rsidR="006819CC">
        <w:t xml:space="preserve">a „istu“ tražbinu prijavljuju </w:t>
      </w:r>
      <w:r w:rsidRPr="00F93175">
        <w:t xml:space="preserve">vjerovnik i jamac/ili jamci koji su jamčili za vjerovnikovu tražbinu. FINA zaprima prijave tražbina i na propisanom obrascu sastavlja tablicu prijavljenih tražbina, ali FINA nema ovlasti da ispituje ili osporava prijavljene tražbine. Jamac koji nije podmirio vjerovnikovu tražbinu do otvaranja </w:t>
      </w:r>
      <w:proofErr w:type="spellStart"/>
      <w:r w:rsidRPr="00F93175">
        <w:t>predstečajnog</w:t>
      </w:r>
      <w:proofErr w:type="spellEnd"/>
      <w:r w:rsidRPr="00F93175">
        <w:t xml:space="preserve"> postupka nije stupio u pravni položaj vjerovnika te nije vjerovnik dužnika. Ako tražbinu prijave vjerovnik i jamac koji nije ni djelomično podmirio vjerovnikovu tražbinu FINA će sastaviti tablicu prijavljenih tražbina</w:t>
      </w:r>
      <w:r w:rsidR="00B51405" w:rsidRPr="00F93175">
        <w:t xml:space="preserve"> u kojoj će navesti obje tražbine</w:t>
      </w:r>
      <w:r w:rsidRPr="00F93175">
        <w:t xml:space="preserve">. Jamčevu tražbinu mogu osporiti dužnik, povjerenik i vjerovnik čija je tražbina osigurana jamstvom ili bilo koji drugi vjerovnik. Ako jamčevu tražbinu ospori ovlaštena osoba u zakonskom roku, a osporavanje ne bude otklonjeno na ročištu radi ispitivanja tražbina, sud će donijeti rješenje o utvrđenim i osporenim tražbinama u kojemu će utvrditi osporavanje jamčeve tražbine, a </w:t>
      </w:r>
      <w:r w:rsidRPr="004E3F02">
        <w:t>jamca uputiti u parnicu radi utvrđivanja osporene tražbine</w:t>
      </w:r>
      <w:r w:rsidRPr="004E3F02">
        <w:rPr>
          <w:rStyle w:val="Referencafusnote"/>
          <w:rFonts w:cs="Arial"/>
          <w:szCs w:val="24"/>
        </w:rPr>
        <w:footnoteReference w:id="148"/>
      </w:r>
      <w:r w:rsidRPr="004E3F02">
        <w:t>.</w:t>
      </w:r>
    </w:p>
    <w:p w:rsidR="002E39E0" w:rsidRPr="00F93175" w:rsidRDefault="002E39E0" w:rsidP="002E39E0">
      <w:pPr>
        <w:pStyle w:val="Bezproreda"/>
        <w:jc w:val="both"/>
      </w:pPr>
    </w:p>
    <w:p w:rsidR="002E39E0" w:rsidRDefault="00C57425" w:rsidP="002E39E0">
      <w:pPr>
        <w:pStyle w:val="Bezproreda"/>
        <w:jc w:val="both"/>
      </w:pPr>
      <w:r w:rsidRPr="00F93175">
        <w:lastRenderedPageBreak/>
        <w:tab/>
        <w:t xml:space="preserve">Problemi </w:t>
      </w:r>
      <w:r w:rsidR="00B51405" w:rsidRPr="00F93175">
        <w:t xml:space="preserve">će </w:t>
      </w:r>
      <w:r w:rsidRPr="00F93175">
        <w:t>nasta</w:t>
      </w:r>
      <w:r w:rsidR="00B51405" w:rsidRPr="00F93175">
        <w:t>ti</w:t>
      </w:r>
      <w:r w:rsidRPr="00F93175">
        <w:t xml:space="preserve"> ako prijavljenu jamčevu tražbinu ne ospori ovlaštena osoba u zakonskom roku. U rje</w:t>
      </w:r>
      <w:r w:rsidR="006819CC">
        <w:t xml:space="preserve">šenju o otvaranju </w:t>
      </w:r>
      <w:proofErr w:type="spellStart"/>
      <w:r w:rsidR="006819CC">
        <w:t>predstečajnog</w:t>
      </w:r>
      <w:proofErr w:type="spellEnd"/>
      <w:r w:rsidRPr="00F93175">
        <w:t xml:space="preserve"> postupka sud određuje ročište radi ispiti</w:t>
      </w:r>
      <w:r w:rsidR="00B51405" w:rsidRPr="00F93175">
        <w:t>vanja tražbina i upućuje poziv z</w:t>
      </w:r>
      <w:r w:rsidRPr="00F93175">
        <w:t xml:space="preserve">a ročište. Na ročištu radi ispitivanja tražbina sud </w:t>
      </w:r>
      <w:r w:rsidR="00B51405" w:rsidRPr="00F93175">
        <w:t>„</w:t>
      </w:r>
      <w:r w:rsidRPr="00F93175">
        <w:t>ispituje</w:t>
      </w:r>
      <w:r w:rsidR="00B51405" w:rsidRPr="00F93175">
        <w:t>“</w:t>
      </w:r>
      <w:r w:rsidRPr="00F93175">
        <w:t xml:space="preserve"> prijavljene tražbine. Polazeći od činjenice da prijavljene tražbine mogu osporiti samo dužnik, povjerenik (ako je imenovan) ili vjerovnici, i to u zakonskim rokovima koji u pravilu ističu prije ročišta radi ispitivanja tražbina, može se zaključiti da sud nema ovlasti da ispituje tražbine koje nisu osporene na zakonom propisani način. Na ročištu radi ispitivanja tražbina moraju se raspraviti samo tražbine koje je osporio dužnik, povjerenik ili vjerovnik. Pravilom tumačenja </w:t>
      </w:r>
      <w:proofErr w:type="spellStart"/>
      <w:r w:rsidRPr="00F93175">
        <w:rPr>
          <w:i/>
        </w:rPr>
        <w:t>argumentum</w:t>
      </w:r>
      <w:proofErr w:type="spellEnd"/>
      <w:r w:rsidRPr="00F93175">
        <w:rPr>
          <w:i/>
        </w:rPr>
        <w:t xml:space="preserve"> a </w:t>
      </w:r>
      <w:proofErr w:type="spellStart"/>
      <w:r w:rsidRPr="00F93175">
        <w:rPr>
          <w:i/>
        </w:rPr>
        <w:t>contrario</w:t>
      </w:r>
      <w:proofErr w:type="spellEnd"/>
      <w:r w:rsidRPr="00F93175">
        <w:t xml:space="preserve"> tražbine koje nisu osporene ne ispituju se na ročištu radi ispitivanja tražbina već je sud dužan utvrditi sve tražbine koje su prijavljene, a </w:t>
      </w:r>
      <w:r w:rsidR="00B51405" w:rsidRPr="00F93175">
        <w:t xml:space="preserve">nisu osporene od </w:t>
      </w:r>
      <w:r w:rsidRPr="00F93175">
        <w:t>ovlašten</w:t>
      </w:r>
      <w:r w:rsidR="00B51405" w:rsidRPr="00F93175">
        <w:t>ih</w:t>
      </w:r>
      <w:r w:rsidRPr="00F93175">
        <w:t xml:space="preserve"> osob</w:t>
      </w:r>
      <w:r w:rsidR="00B51405" w:rsidRPr="00F93175">
        <w:t xml:space="preserve">a. </w:t>
      </w:r>
      <w:r w:rsidRPr="00F93175">
        <w:t>Važeće zakonsko rješenje može dovesti do umanjenja prava vjerovnika i znatnog oštećenja vjerovnika na način da jamci koji nisu vjerovnici dužnika sami ili s drugim vjerovnicima preglasaju vjerovnike prilikom odluč</w:t>
      </w:r>
      <w:r w:rsidR="00B51405" w:rsidRPr="00F93175">
        <w:t xml:space="preserve">ivanja o </w:t>
      </w:r>
      <w:r w:rsidR="00617823">
        <w:t xml:space="preserve">prijedlogu </w:t>
      </w:r>
      <w:r w:rsidR="00B51405" w:rsidRPr="00F93175">
        <w:t>plan</w:t>
      </w:r>
      <w:r w:rsidR="00617823">
        <w:t>a</w:t>
      </w:r>
      <w:r w:rsidR="00B51405" w:rsidRPr="00F93175">
        <w:t xml:space="preserve"> restrukturiranja</w:t>
      </w:r>
      <w:r w:rsidR="00617823">
        <w:t>,</w:t>
      </w:r>
      <w:r w:rsidR="00B51405" w:rsidRPr="00F93175">
        <w:t xml:space="preserve"> ali to samo povećava obvezu povjereni</w:t>
      </w:r>
      <w:r w:rsidR="00617823">
        <w:t>ka i vjerovnika da nakon prijava</w:t>
      </w:r>
      <w:r w:rsidR="00B51405" w:rsidRPr="00F93175">
        <w:t xml:space="preserve"> tražbina utvrde njihovu osnovu i postoje li razlozi za njihovo osporavanje.</w:t>
      </w:r>
    </w:p>
    <w:p w:rsidR="00C57425" w:rsidRPr="00F93175" w:rsidRDefault="00C57425" w:rsidP="002E39E0">
      <w:pPr>
        <w:pStyle w:val="Bezproreda"/>
        <w:jc w:val="both"/>
      </w:pPr>
      <w:r w:rsidRPr="00F93175">
        <w:t xml:space="preserve"> </w:t>
      </w:r>
    </w:p>
    <w:p w:rsidR="00C57425" w:rsidRDefault="00C57425" w:rsidP="002E39E0">
      <w:pPr>
        <w:pStyle w:val="Bezproreda"/>
        <w:jc w:val="both"/>
      </w:pPr>
      <w:r w:rsidRPr="00F93175">
        <w:tab/>
        <w:t>Sudska praksa pokušala je ovaj problem riješiti primjenom odredbe čl</w:t>
      </w:r>
      <w:r w:rsidR="00B05A07">
        <w:t>anka</w:t>
      </w:r>
      <w:r w:rsidRPr="00F93175">
        <w:t xml:space="preserve"> 59. </w:t>
      </w:r>
      <w:r w:rsidR="00B05A07">
        <w:t>s</w:t>
      </w:r>
      <w:r w:rsidRPr="00F93175">
        <w:t>t</w:t>
      </w:r>
      <w:r w:rsidR="00B05A07">
        <w:t xml:space="preserve">avak </w:t>
      </w:r>
      <w:r w:rsidRPr="00F93175">
        <w:t xml:space="preserve">3. SZ-a tumačeći ju na način da vjerovnici i jamci njihovih tražbina imaju jedinstveno pravo te se računaju kao jedan vjerovnik. Tako Visoki trgovački sud RH u jednoj odluci navodi: </w:t>
      </w:r>
      <w:r w:rsidRPr="00F93175">
        <w:rPr>
          <w:i/>
        </w:rPr>
        <w:t>„Jamce je potrebno tretirati zajedno s vjerovnikom tražbine po osnovi kredita za tražbine iz tog istog kredita, kao osobe koje imaju jedinstveno pravo. Riječ je o jedinstvenom dugu i sve te vjerovnike treba tretirati kao osobe s jedinstvenim pravom“</w:t>
      </w:r>
      <w:r w:rsidRPr="00F93175">
        <w:rPr>
          <w:rStyle w:val="Referencafusnote"/>
          <w:rFonts w:cs="Arial"/>
          <w:i/>
          <w:szCs w:val="24"/>
        </w:rPr>
        <w:footnoteReference w:id="149"/>
      </w:r>
      <w:r w:rsidRPr="00F93175">
        <w:rPr>
          <w:i/>
        </w:rPr>
        <w:t xml:space="preserve">. </w:t>
      </w:r>
      <w:r w:rsidRPr="00F93175">
        <w:t xml:space="preserve">Izloženo pravno shvaćanje ne može odgovoriti na pitanje zašto se jamcima koji nisu podmirili ni dio vjerovnike tražbinu priznaje status vjerovnika s jedinstvenim pravom. Štoviše, vjerovniku i jamcu/ili jamcima takvim tumačenjem priznaje se jedinstveno pravo glasa što može biti jako </w:t>
      </w:r>
      <w:r w:rsidR="00617823">
        <w:t xml:space="preserve">nepovoljno </w:t>
      </w:r>
      <w:r w:rsidRPr="00F93175">
        <w:t xml:space="preserve">za vjerovnika. </w:t>
      </w:r>
    </w:p>
    <w:p w:rsidR="002E39E0" w:rsidRPr="00F93175" w:rsidRDefault="002E39E0" w:rsidP="002E39E0">
      <w:pPr>
        <w:pStyle w:val="Bezproreda"/>
        <w:jc w:val="both"/>
      </w:pPr>
    </w:p>
    <w:p w:rsidR="00C57425" w:rsidRDefault="00C57425" w:rsidP="002E39E0">
      <w:pPr>
        <w:pStyle w:val="Bezproreda"/>
        <w:jc w:val="both"/>
      </w:pPr>
      <w:r w:rsidRPr="00F93175">
        <w:tab/>
        <w:t>Drugi način rješavanja uočenog problema je u sačinjavanju tablice uvjetnih tražbina. Uvjetne tražbine su tražbine koje još nisu nastale</w:t>
      </w:r>
      <w:r w:rsidR="009667F9" w:rsidRPr="00F93175">
        <w:t>,</w:t>
      </w:r>
      <w:r w:rsidRPr="00F93175">
        <w:t xml:space="preserve"> ali mogu nastati ako se ostvari određeni uvjet. Polazeći od pojma vjerovnika u </w:t>
      </w:r>
      <w:proofErr w:type="spellStart"/>
      <w:r w:rsidRPr="00F93175">
        <w:t>predstečajnom</w:t>
      </w:r>
      <w:proofErr w:type="spellEnd"/>
      <w:r w:rsidRPr="00F93175">
        <w:t xml:space="preserve"> postupku jasno je da zakon ne poznaje uvjetne vjerovnike, a time ni tablicu uvjetnih tražbina.</w:t>
      </w:r>
      <w:r w:rsidR="009667F9" w:rsidRPr="00F93175">
        <w:rPr>
          <w:rStyle w:val="Referencafusnote"/>
          <w:rFonts w:cs="Arial"/>
          <w:szCs w:val="24"/>
        </w:rPr>
        <w:footnoteReference w:id="150"/>
      </w:r>
      <w:r w:rsidRPr="00F93175">
        <w:t xml:space="preserve"> Prije sveg</w:t>
      </w:r>
      <w:r w:rsidR="009667F9" w:rsidRPr="00F93175">
        <w:t>a</w:t>
      </w:r>
      <w:r w:rsidRPr="00F93175">
        <w:t>, nije jasno što bi jamci dobili s tablicom uvjetnih tražbina. Vjerovnicima iz tablice uvjetnih tražbina nije moguće priznati pravo glasa jer nije poznato hoće li postati vjerovnici, u kojemu će iz</w:t>
      </w:r>
      <w:r w:rsidR="009667F9" w:rsidRPr="00F93175">
        <w:t xml:space="preserve">nosu i kada podmiriti vjerovnikovu </w:t>
      </w:r>
      <w:r w:rsidRPr="00F93175">
        <w:t>tražbinu prema glavnom dužniku. Drugo, ako je vjerovnikova tražbina utvrđena rješenjem, podmirenjem vjerovnik</w:t>
      </w:r>
      <w:r w:rsidR="009667F9" w:rsidRPr="00F93175">
        <w:t>ov</w:t>
      </w:r>
      <w:r w:rsidRPr="00F93175">
        <w:t xml:space="preserve">e tražbine jamac stupa u pravni položaj vjerovnika i na taj način može ostvarivati svoja prava u skladu s </w:t>
      </w:r>
      <w:proofErr w:type="spellStart"/>
      <w:r w:rsidRPr="00F93175">
        <w:t>predstečajnim</w:t>
      </w:r>
      <w:proofErr w:type="spellEnd"/>
      <w:r w:rsidRPr="00F93175">
        <w:t xml:space="preserve"> sporazumom.</w:t>
      </w:r>
    </w:p>
    <w:p w:rsidR="002E39E0" w:rsidRPr="00F93175" w:rsidRDefault="002E39E0" w:rsidP="002E39E0">
      <w:pPr>
        <w:pStyle w:val="Bezproreda"/>
        <w:jc w:val="both"/>
      </w:pPr>
    </w:p>
    <w:p w:rsidR="00C57425" w:rsidRDefault="00C57425" w:rsidP="002E39E0">
      <w:pPr>
        <w:pStyle w:val="Bezproreda"/>
        <w:jc w:val="both"/>
      </w:pPr>
      <w:r w:rsidRPr="00F93175">
        <w:tab/>
        <w:t xml:space="preserve">Postoje i zagovornici shvaćanja da sud može u navedenom slučaju rješenjem odbiti utvrditi tražbinu jamca koji nije podmirio ni dio vjerovnikove tražbine, iako ju nije osporila neka od ovlaštenih osoba ili sud može odbiti rješenjem potvrditi </w:t>
      </w:r>
      <w:proofErr w:type="spellStart"/>
      <w:r w:rsidRPr="00F93175">
        <w:t>predstečajni</w:t>
      </w:r>
      <w:proofErr w:type="spellEnd"/>
      <w:r w:rsidRPr="00F93175">
        <w:t xml:space="preserve"> sporazum uz odgovarajuću primjenu odredbe članka 3. stavak 3. Zakona o parničnom postupku</w:t>
      </w:r>
      <w:r w:rsidR="009667F9" w:rsidRPr="00F93175">
        <w:t>.</w:t>
      </w:r>
      <w:r w:rsidR="009667F9" w:rsidRPr="00F93175">
        <w:rPr>
          <w:rStyle w:val="Referencafusnote"/>
          <w:rFonts w:cs="Arial"/>
          <w:szCs w:val="24"/>
        </w:rPr>
        <w:footnoteReference w:id="151"/>
      </w:r>
      <w:r w:rsidRPr="00F93175">
        <w:t xml:space="preserve"> Navedena odredba Zakona daje sudu mogućnost da ne uvaži raspolaganja stranaka koja su u suprotnosti s prisilnim propisima i pravilima javnog morala.</w:t>
      </w:r>
      <w:r w:rsidR="00B05A07">
        <w:rPr>
          <w:rStyle w:val="Referencafusnote"/>
        </w:rPr>
        <w:footnoteReference w:id="152"/>
      </w:r>
      <w:r w:rsidRPr="00F93175">
        <w:t xml:space="preserve"> Dispozicije sudionika </w:t>
      </w:r>
      <w:proofErr w:type="spellStart"/>
      <w:r w:rsidRPr="00F93175">
        <w:t>predstečajnog</w:t>
      </w:r>
      <w:proofErr w:type="spellEnd"/>
      <w:r w:rsidRPr="00F93175">
        <w:t xml:space="preserve"> postupka kao što su prijavljivanje tražbina, osporavanje i priznanje tražbina su u načelu dopustive. Međutim, te radnje </w:t>
      </w:r>
      <w:r w:rsidRPr="00F93175">
        <w:lastRenderedPageBreak/>
        <w:t>neće biti dopustive, ako imaju nedopušten cilj ko</w:t>
      </w:r>
      <w:r w:rsidR="009667F9" w:rsidRPr="00F93175">
        <w:t>jem</w:t>
      </w:r>
      <w:r w:rsidRPr="00F93175">
        <w:t xml:space="preserve"> su u konkretnom slučaju namijenjene (npr. dispozicije imovinskopravnim ovlaštenjima koje imaju za cilj izigravanje vjerovnika). Koje će od izloženih shvaćanja prihvatiti sudovi ostaje nam da vidimo u skoroj budućnosti.</w:t>
      </w:r>
    </w:p>
    <w:p w:rsidR="002E39E0" w:rsidRPr="00F93175" w:rsidRDefault="002E39E0" w:rsidP="002E39E0">
      <w:pPr>
        <w:pStyle w:val="Bezproreda"/>
        <w:jc w:val="both"/>
      </w:pPr>
    </w:p>
    <w:p w:rsidR="00C57425" w:rsidRDefault="00C57425" w:rsidP="002E39E0">
      <w:pPr>
        <w:pStyle w:val="Bezproreda"/>
        <w:jc w:val="both"/>
      </w:pPr>
      <w:r w:rsidRPr="00F93175">
        <w:tab/>
        <w:t xml:space="preserve">Jamac podmirenjem vjerovnikove tražbine stupa u pravni položaj vjerovnika. Problem za jamce može nastati ako vjerovnik svoju nenamirenu tražbinu prema dužniku nije prijavio niti je ona utvrđena u </w:t>
      </w:r>
      <w:proofErr w:type="spellStart"/>
      <w:r w:rsidRPr="00F93175">
        <w:t>predstečajnom</w:t>
      </w:r>
      <w:proofErr w:type="spellEnd"/>
      <w:r w:rsidRPr="00F93175">
        <w:t xml:space="preserve"> postupku, a nakon toga vjerovnik zahtijeva od jamca podmirenje tražbine. Jamac se ne bi mogao uspješno braniti od takvog zahtjeva vjerovnika činjenicom da vjerovnik svoju tražbinu ne može ostvarivati od dužnika. Odredba članka 340. st</w:t>
      </w:r>
      <w:r w:rsidR="00617823">
        <w:t>avak</w:t>
      </w:r>
      <w:r w:rsidRPr="00F93175">
        <w:t xml:space="preserve"> 2. SZ-a propisuje da rješenje o potvrdi </w:t>
      </w:r>
      <w:proofErr w:type="spellStart"/>
      <w:r w:rsidRPr="00F93175">
        <w:t>predstečajnog</w:t>
      </w:r>
      <w:proofErr w:type="spellEnd"/>
      <w:r w:rsidRPr="00F93175">
        <w:t xml:space="preserve"> sporazuma ne djeluje na prava vjerovnika protiv sudužnika i dužnikovih jamaca. Slijedom toga, vjerovnik bi mogao svoju tražbinu ostvarivati prema jamcu. </w:t>
      </w:r>
    </w:p>
    <w:p w:rsidR="002E39E0" w:rsidRPr="00F93175" w:rsidRDefault="002E39E0" w:rsidP="002E39E0">
      <w:pPr>
        <w:pStyle w:val="Bezproreda"/>
        <w:jc w:val="both"/>
      </w:pPr>
    </w:p>
    <w:p w:rsidR="00C57425" w:rsidRPr="00F93175" w:rsidRDefault="00C57425" w:rsidP="002E39E0">
      <w:pPr>
        <w:pStyle w:val="Bezproreda"/>
        <w:jc w:val="both"/>
      </w:pPr>
      <w:r w:rsidRPr="00F93175">
        <w:tab/>
        <w:t xml:space="preserve">Koja su prava jamca prema dužniku nakon što podmiri vjerovniku njegovu tražbinu koja nije prijavljena niti utvrđena u </w:t>
      </w:r>
      <w:proofErr w:type="spellStart"/>
      <w:r w:rsidRPr="00F93175">
        <w:t>predstečajnom</w:t>
      </w:r>
      <w:proofErr w:type="spellEnd"/>
      <w:r w:rsidRPr="00F93175">
        <w:t xml:space="preserve"> postupku ? Prema jednom pravnom shvaćanju, jamac ne bi mogao prema dužniku staviti zahtjev za isplatu budući da se dužnik na temelju rješenja o potvrdi </w:t>
      </w:r>
      <w:proofErr w:type="spellStart"/>
      <w:r w:rsidRPr="00F93175">
        <w:t>predstečajnog</w:t>
      </w:r>
      <w:proofErr w:type="spellEnd"/>
      <w:r w:rsidRPr="00F93175">
        <w:t xml:space="preserve"> sporazuma oslobađa od obveza prema svojim sudužnicima, jamcima i drugim regresnim ovlaštenicima na isti način kao i prema svojim vjerovnicima. Drugo shvaćanje polazi od činjenice da vjerovnikova tražbina uopće nije obuhvaćena </w:t>
      </w:r>
      <w:proofErr w:type="spellStart"/>
      <w:r w:rsidRPr="00F93175">
        <w:t>predstečajnim</w:t>
      </w:r>
      <w:proofErr w:type="spellEnd"/>
      <w:r w:rsidRPr="00F93175">
        <w:t xml:space="preserve"> sporazumom jer nije prijavljena niti utvrđena rješenjem. Vjerovnik uopće nije bio sudionik </w:t>
      </w:r>
      <w:proofErr w:type="spellStart"/>
      <w:r w:rsidRPr="00F93175">
        <w:t>predstečajnog</w:t>
      </w:r>
      <w:proofErr w:type="spellEnd"/>
      <w:r w:rsidRPr="00F93175">
        <w:t xml:space="preserve"> postupka. Vjerovnik ne može ostvarivati svoju tražbinu prema dužniku zbog činjenice da istu nije prijavio, a ne zbog toga što je dužnik oslobođen od obveze na temelju rješenja o potvrdi </w:t>
      </w:r>
      <w:proofErr w:type="spellStart"/>
      <w:r w:rsidRPr="00F93175">
        <w:t>predstečajnoga</w:t>
      </w:r>
      <w:proofErr w:type="spellEnd"/>
      <w:r w:rsidRPr="00F93175">
        <w:t xml:space="preserve"> sporazuma. U sudskoj praksi još nema odgovora na ovo pitanje, ali je prihvatljivije shvaćanje da jamac prema dužniku ne može ostvarivati svoju tražbinu budući da je vjerovnik izgubio pravo da ostvaruje tražbinu prema dužniku upravo na temelju činjenice da je rješenjem potvrđen </w:t>
      </w:r>
      <w:proofErr w:type="spellStart"/>
      <w:r w:rsidRPr="00F93175">
        <w:t>predstečajni</w:t>
      </w:r>
      <w:proofErr w:type="spellEnd"/>
      <w:r w:rsidRPr="00F93175">
        <w:t xml:space="preserve"> sporazum koji ima učinak na sve tražbine nastale prije otvaranja </w:t>
      </w:r>
      <w:proofErr w:type="spellStart"/>
      <w:r w:rsidRPr="00F93175">
        <w:t>predstečajnog</w:t>
      </w:r>
      <w:proofErr w:type="spellEnd"/>
      <w:r w:rsidRPr="00F93175">
        <w:t xml:space="preserve"> postupka. Predmnijevajući da rješenje o potvrdi </w:t>
      </w:r>
      <w:proofErr w:type="spellStart"/>
      <w:r w:rsidRPr="00F93175">
        <w:t>predstečajnog</w:t>
      </w:r>
      <w:proofErr w:type="spellEnd"/>
      <w:r w:rsidRPr="00F93175">
        <w:t xml:space="preserve"> sporazuma nije doneseno vjerovnik bi mogao ostvarivati svoju tražbinu prema dužniku. Ako se dužnik rj</w:t>
      </w:r>
      <w:r w:rsidR="003D657A" w:rsidRPr="00F93175">
        <w:t xml:space="preserve">ešenjem o potvrdi </w:t>
      </w:r>
      <w:proofErr w:type="spellStart"/>
      <w:r w:rsidR="003D657A" w:rsidRPr="00F93175">
        <w:t>predstečajnog</w:t>
      </w:r>
      <w:proofErr w:type="spellEnd"/>
      <w:r w:rsidRPr="00F93175">
        <w:t xml:space="preserve"> sporazuma oslobodio obveze prema vjerovniku</w:t>
      </w:r>
      <w:r w:rsidR="00ED5E8D">
        <w:t>,</w:t>
      </w:r>
      <w:r w:rsidRPr="00F93175">
        <w:t xml:space="preserve"> oslobodio se obveze i prema jamcu.</w:t>
      </w:r>
      <w:r w:rsidR="003D657A" w:rsidRPr="00F93175">
        <w:rPr>
          <w:rStyle w:val="Referencafusnote"/>
          <w:rFonts w:cs="Arial"/>
          <w:szCs w:val="24"/>
        </w:rPr>
        <w:footnoteReference w:id="153"/>
      </w:r>
      <w:r w:rsidRPr="00F93175">
        <w:t xml:space="preserve"> Jamac ima mogućnost vjerovnikovom zahtjevu za isplatu isticati </w:t>
      </w:r>
      <w:proofErr w:type="spellStart"/>
      <w:r w:rsidRPr="00F93175">
        <w:t>protuzahtjev</w:t>
      </w:r>
      <w:proofErr w:type="spellEnd"/>
      <w:r w:rsidRPr="00F93175">
        <w:t xml:space="preserve"> za naknadu štete zbog činjenice što vjerovnik tražbinu nije prijavio u </w:t>
      </w:r>
      <w:proofErr w:type="spellStart"/>
      <w:r w:rsidRPr="00F93175">
        <w:t>predstečajnom</w:t>
      </w:r>
      <w:proofErr w:type="spellEnd"/>
      <w:r w:rsidRPr="00F93175">
        <w:t xml:space="preserve"> postupku odgovarajućom primjenom odredbe članka 114. ZOO-a.</w:t>
      </w:r>
    </w:p>
    <w:p w:rsidR="00676BB1" w:rsidRDefault="00C57425" w:rsidP="00DE521B">
      <w:pPr>
        <w:jc w:val="both"/>
        <w:rPr>
          <w:rFonts w:ascii="Arial" w:hAnsi="Arial" w:cs="Arial"/>
          <w:szCs w:val="24"/>
        </w:rPr>
      </w:pPr>
      <w:r w:rsidRPr="002D6048">
        <w:rPr>
          <w:rFonts w:ascii="Arial" w:hAnsi="Arial" w:cs="Arial"/>
          <w:szCs w:val="24"/>
        </w:rPr>
        <w:t xml:space="preserve"> </w:t>
      </w:r>
      <w:r w:rsidRPr="002D6048">
        <w:rPr>
          <w:rFonts w:ascii="Arial" w:hAnsi="Arial" w:cs="Arial"/>
          <w:szCs w:val="24"/>
        </w:rPr>
        <w:tab/>
      </w:r>
    </w:p>
    <w:p w:rsidR="00965605" w:rsidRDefault="00281FC4" w:rsidP="00281FC4">
      <w:pPr>
        <w:pStyle w:val="Naslov3"/>
      </w:pPr>
      <w:bookmarkStart w:id="27" w:name="_Toc507067625"/>
      <w:r>
        <w:t xml:space="preserve">2.3.4. </w:t>
      </w:r>
      <w:proofErr w:type="spellStart"/>
      <w:r w:rsidR="00965605" w:rsidRPr="00281FC4">
        <w:t>Razlučni</w:t>
      </w:r>
      <w:proofErr w:type="spellEnd"/>
      <w:r w:rsidR="00965605" w:rsidRPr="00281FC4">
        <w:t xml:space="preserve"> i izlučni vjerovnici</w:t>
      </w:r>
      <w:bookmarkEnd w:id="27"/>
    </w:p>
    <w:p w:rsidR="00281FC4" w:rsidRPr="00281FC4" w:rsidRDefault="00281FC4" w:rsidP="00281FC4"/>
    <w:p w:rsidR="002E4857" w:rsidRPr="002E4857" w:rsidRDefault="00965605" w:rsidP="002C4707">
      <w:pPr>
        <w:pStyle w:val="Bezproreda"/>
        <w:jc w:val="both"/>
      </w:pPr>
      <w:r w:rsidRPr="002E4857">
        <w:tab/>
      </w:r>
      <w:r w:rsidR="002E4857" w:rsidRPr="002E4857">
        <w:t xml:space="preserve">Vjerovnici koji imaju založno pravo ili pravo na namirenje na kojoj stvari ili pravu koji su upisani u javnoj knjizi su </w:t>
      </w:r>
      <w:proofErr w:type="spellStart"/>
      <w:r w:rsidR="002E4857" w:rsidRPr="002E4857">
        <w:t>razlučni</w:t>
      </w:r>
      <w:proofErr w:type="spellEnd"/>
      <w:r w:rsidR="002E4857" w:rsidRPr="002E4857">
        <w:t xml:space="preserve"> vjerovnici.</w:t>
      </w:r>
      <w:r w:rsidR="002E4857" w:rsidRPr="002E4857">
        <w:rPr>
          <w:rStyle w:val="Referencafusnote"/>
          <w:rFonts w:cs="Arial"/>
          <w:szCs w:val="24"/>
        </w:rPr>
        <w:footnoteReference w:id="154"/>
      </w:r>
      <w:r w:rsidR="002E4857" w:rsidRPr="002E4857">
        <w:t xml:space="preserve"> To su kvalificirani vjerovnici u koje pripadaju i fiducijar</w:t>
      </w:r>
      <w:r w:rsidR="006E2627">
        <w:t>n</w:t>
      </w:r>
      <w:r w:rsidR="002E4857" w:rsidRPr="002E4857">
        <w:t xml:space="preserve">i vjerovnici, ali i ostali </w:t>
      </w:r>
      <w:proofErr w:type="spellStart"/>
      <w:r w:rsidR="002E4857" w:rsidRPr="002E4857">
        <w:t>razlučni</w:t>
      </w:r>
      <w:proofErr w:type="spellEnd"/>
      <w:r w:rsidR="002E4857" w:rsidRPr="002E4857">
        <w:t xml:space="preserve"> vjerovnici prema odredbi članka 152. SZ-a. </w:t>
      </w:r>
      <w:proofErr w:type="spellStart"/>
      <w:r w:rsidR="002E4857" w:rsidRPr="002E4857">
        <w:t>Razlučni</w:t>
      </w:r>
      <w:proofErr w:type="spellEnd"/>
      <w:r w:rsidR="002E4857" w:rsidRPr="002E4857">
        <w:t xml:space="preserve"> vjerovnici imaju pravo odvojenog namirenja iz vrijednosti zaloga ili pravo unovčenja prema odredbama članka 248. SZ-a. </w:t>
      </w:r>
    </w:p>
    <w:p w:rsidR="002E4857" w:rsidRDefault="002E4857" w:rsidP="002E4857">
      <w:pPr>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rPr>
        <w:tab/>
        <w:t>Izlučni vjerovnici su osobe koje na temelju kojega svog stvarnog ili osobnog prava mogu dokazati da neki predmet ne ulazi u stečajnu masu. Njihovo će se pravo na izdvajanje predmeta utvrđivati prema pravilima za ostvarivanje tih prava izvan stečajnog postupka.</w:t>
      </w:r>
    </w:p>
    <w:p w:rsidR="002E4857" w:rsidRPr="002E4857" w:rsidRDefault="00422DA8" w:rsidP="00422DA8">
      <w:pPr>
        <w:autoSpaceDE w:val="0"/>
        <w:autoSpaceDN w:val="0"/>
        <w:adjustRightInd w:val="0"/>
        <w:spacing w:before="120" w:after="120" w:line="240" w:lineRule="auto"/>
        <w:ind w:firstLine="708"/>
        <w:jc w:val="both"/>
        <w:rPr>
          <w:rFonts w:ascii="Arial" w:hAnsi="Arial" w:cs="Arial"/>
          <w:b/>
          <w:sz w:val="24"/>
          <w:szCs w:val="24"/>
        </w:rPr>
      </w:pPr>
      <w:r w:rsidRPr="002E4857">
        <w:rPr>
          <w:rFonts w:ascii="Arial" w:hAnsi="Arial" w:cs="Arial"/>
          <w:sz w:val="24"/>
          <w:szCs w:val="24"/>
        </w:rPr>
        <w:t xml:space="preserve">U </w:t>
      </w:r>
      <w:proofErr w:type="spellStart"/>
      <w:r w:rsidRPr="002E4857">
        <w:rPr>
          <w:rFonts w:ascii="Arial" w:hAnsi="Arial" w:cs="Arial"/>
          <w:sz w:val="24"/>
          <w:szCs w:val="24"/>
        </w:rPr>
        <w:t>predstečajnom</w:t>
      </w:r>
      <w:proofErr w:type="spellEnd"/>
      <w:r w:rsidRPr="002E4857">
        <w:rPr>
          <w:rFonts w:ascii="Arial" w:hAnsi="Arial" w:cs="Arial"/>
          <w:sz w:val="24"/>
          <w:szCs w:val="24"/>
        </w:rPr>
        <w:t xml:space="preserve"> postupku </w:t>
      </w:r>
      <w:r>
        <w:rPr>
          <w:rFonts w:ascii="Arial" w:hAnsi="Arial" w:cs="Arial"/>
          <w:sz w:val="24"/>
          <w:szCs w:val="24"/>
        </w:rPr>
        <w:t>i</w:t>
      </w:r>
      <w:proofErr w:type="spellStart"/>
      <w:r w:rsidR="002E4857" w:rsidRPr="002E4857">
        <w:rPr>
          <w:rFonts w:ascii="Arial" w:hAnsi="Arial" w:cs="Arial"/>
          <w:sz w:val="24"/>
          <w:szCs w:val="24"/>
          <w:lang w:val="x-none"/>
        </w:rPr>
        <w:t>zlučna</w:t>
      </w:r>
      <w:proofErr w:type="spellEnd"/>
      <w:r w:rsidR="002E4857" w:rsidRPr="002E4857">
        <w:rPr>
          <w:rFonts w:ascii="Arial" w:hAnsi="Arial" w:cs="Arial"/>
          <w:sz w:val="24"/>
          <w:szCs w:val="24"/>
          <w:lang w:val="x-none"/>
        </w:rPr>
        <w:t xml:space="preserve"> i </w:t>
      </w:r>
      <w:proofErr w:type="spellStart"/>
      <w:r w:rsidR="002E4857" w:rsidRPr="002E4857">
        <w:rPr>
          <w:rFonts w:ascii="Arial" w:hAnsi="Arial" w:cs="Arial"/>
          <w:sz w:val="24"/>
          <w:szCs w:val="24"/>
          <w:lang w:val="x-none"/>
        </w:rPr>
        <w:t>razlučna</w:t>
      </w:r>
      <w:proofErr w:type="spellEnd"/>
      <w:r w:rsidR="002E4857" w:rsidRPr="002E4857">
        <w:rPr>
          <w:rFonts w:ascii="Arial" w:hAnsi="Arial" w:cs="Arial"/>
          <w:sz w:val="24"/>
          <w:szCs w:val="24"/>
          <w:lang w:val="x-none"/>
        </w:rPr>
        <w:t xml:space="preserve"> prava nisu predmet ispitivanja</w:t>
      </w:r>
      <w:r w:rsidR="002E4857" w:rsidRPr="002E4857">
        <w:rPr>
          <w:rFonts w:ascii="Arial" w:hAnsi="Arial" w:cs="Arial"/>
          <w:sz w:val="24"/>
          <w:szCs w:val="24"/>
        </w:rPr>
        <w:t xml:space="preserve"> na ročištu radi ispitivanja tražbina</w:t>
      </w:r>
      <w:r w:rsidR="002E4857" w:rsidRPr="002E4857">
        <w:rPr>
          <w:rStyle w:val="Referencafusnote"/>
          <w:rFonts w:ascii="Arial" w:hAnsi="Arial" w:cs="Arial"/>
          <w:sz w:val="24"/>
          <w:szCs w:val="24"/>
        </w:rPr>
        <w:footnoteReference w:id="155"/>
      </w:r>
      <w:r w:rsidR="002E4857" w:rsidRPr="002E4857">
        <w:rPr>
          <w:rFonts w:ascii="Arial" w:hAnsi="Arial" w:cs="Arial"/>
          <w:sz w:val="24"/>
          <w:szCs w:val="24"/>
        </w:rPr>
        <w:t xml:space="preserve"> niti </w:t>
      </w:r>
      <w:proofErr w:type="spellStart"/>
      <w:r w:rsidR="002E4857" w:rsidRPr="002E4857">
        <w:rPr>
          <w:rFonts w:ascii="Arial" w:hAnsi="Arial" w:cs="Arial"/>
          <w:sz w:val="24"/>
          <w:szCs w:val="24"/>
        </w:rPr>
        <w:t>predstečajni</w:t>
      </w:r>
      <w:proofErr w:type="spellEnd"/>
      <w:r w:rsidR="002E4857" w:rsidRPr="002E4857">
        <w:rPr>
          <w:rFonts w:ascii="Arial" w:hAnsi="Arial" w:cs="Arial"/>
          <w:sz w:val="24"/>
          <w:szCs w:val="24"/>
        </w:rPr>
        <w:t xml:space="preserve"> postupak utječe na pravo odvojenog namirenja </w:t>
      </w:r>
      <w:proofErr w:type="spellStart"/>
      <w:r w:rsidR="002E4857" w:rsidRPr="002E4857">
        <w:rPr>
          <w:rFonts w:ascii="Arial" w:hAnsi="Arial" w:cs="Arial"/>
          <w:sz w:val="24"/>
          <w:szCs w:val="24"/>
        </w:rPr>
        <w:t>razlučnih</w:t>
      </w:r>
      <w:proofErr w:type="spellEnd"/>
      <w:r w:rsidR="002E4857" w:rsidRPr="002E4857">
        <w:rPr>
          <w:rFonts w:ascii="Arial" w:hAnsi="Arial" w:cs="Arial"/>
          <w:sz w:val="24"/>
          <w:szCs w:val="24"/>
        </w:rPr>
        <w:t xml:space="preserve"> i izlučnih vjerovnika</w:t>
      </w:r>
      <w:r w:rsidR="002E4857" w:rsidRPr="002E4857">
        <w:rPr>
          <w:rStyle w:val="Referencafusnote"/>
          <w:rFonts w:ascii="Arial" w:hAnsi="Arial" w:cs="Arial"/>
          <w:sz w:val="24"/>
          <w:szCs w:val="24"/>
        </w:rPr>
        <w:footnoteReference w:id="156"/>
      </w:r>
      <w:r w:rsidR="002E4857" w:rsidRPr="002E4857">
        <w:rPr>
          <w:rFonts w:ascii="Arial" w:hAnsi="Arial" w:cs="Arial"/>
          <w:sz w:val="24"/>
          <w:szCs w:val="24"/>
        </w:rPr>
        <w:t>.</w:t>
      </w:r>
      <w:r w:rsidR="002E4857">
        <w:rPr>
          <w:rFonts w:ascii="Times New Roman" w:hAnsi="Times New Roman" w:cs="Times New Roman"/>
          <w:sz w:val="24"/>
          <w:szCs w:val="24"/>
        </w:rPr>
        <w:t xml:space="preserve"> </w:t>
      </w:r>
      <w:r w:rsidR="002E4857" w:rsidRPr="002E4857">
        <w:rPr>
          <w:rFonts w:ascii="Arial" w:hAnsi="Arial" w:cs="Arial"/>
          <w:sz w:val="24"/>
          <w:szCs w:val="24"/>
        </w:rPr>
        <w:t xml:space="preserve">Međutim, </w:t>
      </w:r>
      <w:proofErr w:type="spellStart"/>
      <w:r w:rsidR="002E4857" w:rsidRPr="002E4857">
        <w:rPr>
          <w:rFonts w:ascii="Arial" w:hAnsi="Arial" w:cs="Arial"/>
          <w:sz w:val="24"/>
          <w:szCs w:val="24"/>
        </w:rPr>
        <w:t>razlučni</w:t>
      </w:r>
      <w:proofErr w:type="spellEnd"/>
      <w:r w:rsidR="002E4857" w:rsidRPr="002E4857">
        <w:rPr>
          <w:rFonts w:ascii="Arial" w:hAnsi="Arial" w:cs="Arial"/>
          <w:sz w:val="24"/>
          <w:szCs w:val="24"/>
        </w:rPr>
        <w:t xml:space="preserve"> i izlučni vjerovnici imaju dužnost o svojim pravima </w:t>
      </w:r>
      <w:proofErr w:type="spellStart"/>
      <w:r w:rsidR="002E4857" w:rsidRPr="002E4857">
        <w:rPr>
          <w:rFonts w:ascii="Arial" w:hAnsi="Arial" w:cs="Arial"/>
          <w:sz w:val="24"/>
          <w:szCs w:val="24"/>
        </w:rPr>
        <w:t>obavjestiti</w:t>
      </w:r>
      <w:proofErr w:type="spellEnd"/>
      <w:r w:rsidR="002E4857" w:rsidRPr="002E4857">
        <w:rPr>
          <w:rFonts w:ascii="Arial" w:hAnsi="Arial" w:cs="Arial"/>
          <w:sz w:val="24"/>
          <w:szCs w:val="24"/>
        </w:rPr>
        <w:t xml:space="preserve"> nadležnu jedinicu FINA-e,</w:t>
      </w:r>
      <w:r w:rsidR="002E4857" w:rsidRPr="002E4857">
        <w:rPr>
          <w:rFonts w:ascii="Arial" w:hAnsi="Arial" w:cs="Arial"/>
          <w:sz w:val="24"/>
          <w:szCs w:val="24"/>
          <w:lang w:val="x-none"/>
        </w:rPr>
        <w:t xml:space="preserve"> </w:t>
      </w:r>
      <w:r>
        <w:rPr>
          <w:rFonts w:ascii="Arial" w:hAnsi="Arial" w:cs="Arial"/>
          <w:sz w:val="24"/>
          <w:szCs w:val="24"/>
        </w:rPr>
        <w:t xml:space="preserve">o </w:t>
      </w:r>
      <w:r w:rsidR="002E4857" w:rsidRPr="002E4857">
        <w:rPr>
          <w:rFonts w:ascii="Arial" w:hAnsi="Arial" w:cs="Arial"/>
          <w:sz w:val="24"/>
          <w:szCs w:val="24"/>
          <w:lang w:val="x-none"/>
        </w:rPr>
        <w:t xml:space="preserve">pravnoj osnovi </w:t>
      </w:r>
      <w:proofErr w:type="spellStart"/>
      <w:r w:rsidR="002E4857" w:rsidRPr="002E4857">
        <w:rPr>
          <w:rFonts w:ascii="Arial" w:hAnsi="Arial" w:cs="Arial"/>
          <w:sz w:val="24"/>
          <w:szCs w:val="24"/>
          <w:lang w:val="x-none"/>
        </w:rPr>
        <w:t>razlučnoga</w:t>
      </w:r>
      <w:proofErr w:type="spellEnd"/>
      <w:r w:rsidR="002E4857" w:rsidRPr="002E4857">
        <w:rPr>
          <w:rFonts w:ascii="Arial" w:hAnsi="Arial" w:cs="Arial"/>
          <w:sz w:val="24"/>
          <w:szCs w:val="24"/>
          <w:lang w:val="x-none"/>
        </w:rPr>
        <w:t xml:space="preserve"> prava i dijelu imovine dužnika </w:t>
      </w:r>
      <w:r w:rsidR="002E4857" w:rsidRPr="002E4857">
        <w:rPr>
          <w:rFonts w:ascii="Arial" w:hAnsi="Arial" w:cs="Arial"/>
          <w:sz w:val="24"/>
          <w:szCs w:val="24"/>
          <w:lang w:val="x-none"/>
        </w:rPr>
        <w:lastRenderedPageBreak/>
        <w:t xml:space="preserve">na koji se odnosi njihovo </w:t>
      </w:r>
      <w:proofErr w:type="spellStart"/>
      <w:r w:rsidR="002E4857" w:rsidRPr="002E4857">
        <w:rPr>
          <w:rFonts w:ascii="Arial" w:hAnsi="Arial" w:cs="Arial"/>
          <w:sz w:val="24"/>
          <w:szCs w:val="24"/>
          <w:lang w:val="x-none"/>
        </w:rPr>
        <w:t>razlučno</w:t>
      </w:r>
      <w:proofErr w:type="spellEnd"/>
      <w:r w:rsidR="002E4857" w:rsidRPr="002E4857">
        <w:rPr>
          <w:rFonts w:ascii="Arial" w:hAnsi="Arial" w:cs="Arial"/>
          <w:sz w:val="24"/>
          <w:szCs w:val="24"/>
          <w:lang w:val="x-none"/>
        </w:rPr>
        <w:t xml:space="preserve"> </w:t>
      </w:r>
      <w:r w:rsidR="002E4857">
        <w:rPr>
          <w:rFonts w:ascii="Arial" w:hAnsi="Arial" w:cs="Arial"/>
          <w:sz w:val="24"/>
          <w:szCs w:val="24"/>
        </w:rPr>
        <w:t xml:space="preserve">odnosno izlučno </w:t>
      </w:r>
      <w:r w:rsidR="002E4857" w:rsidRPr="002E4857">
        <w:rPr>
          <w:rFonts w:ascii="Arial" w:hAnsi="Arial" w:cs="Arial"/>
          <w:sz w:val="24"/>
          <w:szCs w:val="24"/>
          <w:lang w:val="x-none"/>
        </w:rPr>
        <w:t>pravo</w:t>
      </w:r>
      <w:r w:rsidR="002E4857" w:rsidRPr="002E4857">
        <w:rPr>
          <w:rFonts w:ascii="Arial" w:hAnsi="Arial" w:cs="Arial"/>
          <w:sz w:val="24"/>
          <w:szCs w:val="24"/>
        </w:rPr>
        <w:t>.</w:t>
      </w:r>
      <w:r w:rsidR="00F07D52">
        <w:rPr>
          <w:rFonts w:ascii="Arial" w:hAnsi="Arial" w:cs="Arial"/>
          <w:sz w:val="24"/>
          <w:szCs w:val="24"/>
        </w:rPr>
        <w:t xml:space="preserve"> Obavijest se podnosi na obrascu za prijavu tražbina vjerovnika u </w:t>
      </w:r>
      <w:proofErr w:type="spellStart"/>
      <w:r w:rsidR="00F07D52">
        <w:rPr>
          <w:rFonts w:ascii="Arial" w:hAnsi="Arial" w:cs="Arial"/>
          <w:sz w:val="24"/>
          <w:szCs w:val="24"/>
        </w:rPr>
        <w:t>predstečajnom</w:t>
      </w:r>
      <w:proofErr w:type="spellEnd"/>
      <w:r w:rsidR="00F07D52">
        <w:rPr>
          <w:rFonts w:ascii="Arial" w:hAnsi="Arial" w:cs="Arial"/>
          <w:sz w:val="24"/>
          <w:szCs w:val="24"/>
        </w:rPr>
        <w:t xml:space="preserve"> postupku.</w:t>
      </w:r>
      <w:r w:rsidR="00F07D52">
        <w:rPr>
          <w:rStyle w:val="Referencafusnote"/>
          <w:rFonts w:ascii="Arial" w:hAnsi="Arial" w:cs="Arial"/>
          <w:sz w:val="24"/>
          <w:szCs w:val="24"/>
        </w:rPr>
        <w:footnoteReference w:id="157"/>
      </w:r>
      <w:r w:rsidR="002E4857" w:rsidRPr="002E4857">
        <w:rPr>
          <w:rFonts w:ascii="Arial" w:hAnsi="Arial" w:cs="Arial"/>
          <w:sz w:val="24"/>
          <w:szCs w:val="24"/>
        </w:rPr>
        <w:t xml:space="preserve"> R</w:t>
      </w:r>
      <w:proofErr w:type="spellStart"/>
      <w:r w:rsidR="002E4857" w:rsidRPr="002E4857">
        <w:rPr>
          <w:rFonts w:ascii="Arial" w:hAnsi="Arial" w:cs="Arial"/>
          <w:sz w:val="24"/>
          <w:szCs w:val="24"/>
          <w:lang w:val="x-none"/>
        </w:rPr>
        <w:t>azlučni</w:t>
      </w:r>
      <w:proofErr w:type="spellEnd"/>
      <w:r w:rsidR="002E4857" w:rsidRPr="002E4857">
        <w:rPr>
          <w:rFonts w:ascii="Arial" w:hAnsi="Arial" w:cs="Arial"/>
          <w:sz w:val="24"/>
          <w:szCs w:val="24"/>
          <w:lang w:val="x-none"/>
        </w:rPr>
        <w:t xml:space="preserve"> vjerovnici dužni su dati izjavu odriču li se ili ne odriču prava na odvojeno namirenje</w:t>
      </w:r>
      <w:r w:rsidR="002E4857" w:rsidRPr="002E4857">
        <w:rPr>
          <w:rStyle w:val="Referencafusnote"/>
          <w:rFonts w:ascii="Arial" w:hAnsi="Arial" w:cs="Arial"/>
          <w:sz w:val="24"/>
          <w:szCs w:val="24"/>
          <w:lang w:val="x-none"/>
        </w:rPr>
        <w:footnoteReference w:id="158"/>
      </w:r>
      <w:r w:rsidR="002E4857" w:rsidRPr="002E4857">
        <w:rPr>
          <w:rFonts w:ascii="Arial" w:hAnsi="Arial" w:cs="Arial"/>
          <w:sz w:val="24"/>
          <w:szCs w:val="24"/>
          <w:lang w:val="x-none"/>
        </w:rPr>
        <w:t>.</w:t>
      </w:r>
      <w:r w:rsidR="002E4857" w:rsidRPr="002E4857">
        <w:rPr>
          <w:rFonts w:ascii="Arial" w:hAnsi="Arial" w:cs="Arial"/>
          <w:sz w:val="24"/>
          <w:szCs w:val="24"/>
        </w:rPr>
        <w:t xml:space="preserve"> </w:t>
      </w:r>
      <w:proofErr w:type="spellStart"/>
      <w:r w:rsidR="002E4857" w:rsidRPr="002E4857">
        <w:rPr>
          <w:rFonts w:ascii="Arial" w:hAnsi="Arial" w:cs="Arial"/>
          <w:sz w:val="24"/>
          <w:szCs w:val="24"/>
          <w:lang w:val="x-none"/>
        </w:rPr>
        <w:t>Razlučni</w:t>
      </w:r>
      <w:proofErr w:type="spellEnd"/>
      <w:r w:rsidR="002E4857" w:rsidRPr="002E4857">
        <w:rPr>
          <w:rFonts w:ascii="Arial" w:hAnsi="Arial" w:cs="Arial"/>
          <w:sz w:val="24"/>
          <w:szCs w:val="24"/>
          <w:lang w:val="x-none"/>
        </w:rPr>
        <w:t xml:space="preserve"> vjerovnici dužni su dati </w:t>
      </w:r>
      <w:r w:rsidR="002E4857" w:rsidRPr="002E4857">
        <w:rPr>
          <w:rFonts w:ascii="Arial" w:hAnsi="Arial" w:cs="Arial"/>
          <w:sz w:val="24"/>
          <w:szCs w:val="24"/>
        </w:rPr>
        <w:t>i I</w:t>
      </w:r>
      <w:proofErr w:type="spellStart"/>
      <w:r w:rsidR="002E4857" w:rsidRPr="002E4857">
        <w:rPr>
          <w:rFonts w:ascii="Arial" w:hAnsi="Arial" w:cs="Arial"/>
          <w:sz w:val="24"/>
          <w:szCs w:val="24"/>
          <w:lang w:val="x-none"/>
        </w:rPr>
        <w:t>zjavu</w:t>
      </w:r>
      <w:proofErr w:type="spellEnd"/>
      <w:r w:rsidR="002E4857" w:rsidRPr="002E4857">
        <w:rPr>
          <w:rFonts w:ascii="Arial" w:hAnsi="Arial" w:cs="Arial"/>
          <w:sz w:val="24"/>
          <w:szCs w:val="24"/>
          <w:lang w:val="x-none"/>
        </w:rPr>
        <w:t xml:space="preserve"> o pristanku ili uskrati pristanka odgode namirenja iz </w:t>
      </w:r>
      <w:r w:rsidR="002E4857" w:rsidRPr="002E4857">
        <w:rPr>
          <w:rFonts w:ascii="Arial" w:hAnsi="Arial" w:cs="Arial"/>
          <w:sz w:val="24"/>
          <w:szCs w:val="24"/>
        </w:rPr>
        <w:t xml:space="preserve">vrijednosti </w:t>
      </w:r>
      <w:r w:rsidR="002E4857" w:rsidRPr="002E4857">
        <w:rPr>
          <w:rFonts w:ascii="Arial" w:hAnsi="Arial" w:cs="Arial"/>
          <w:sz w:val="24"/>
          <w:szCs w:val="24"/>
          <w:lang w:val="x-none"/>
        </w:rPr>
        <w:t xml:space="preserve">predmeta na koji se odnosi njihovo </w:t>
      </w:r>
      <w:proofErr w:type="spellStart"/>
      <w:r w:rsidR="002E4857" w:rsidRPr="002E4857">
        <w:rPr>
          <w:rFonts w:ascii="Arial" w:hAnsi="Arial" w:cs="Arial"/>
          <w:sz w:val="24"/>
          <w:szCs w:val="24"/>
          <w:lang w:val="x-none"/>
        </w:rPr>
        <w:t>razlučno</w:t>
      </w:r>
      <w:proofErr w:type="spellEnd"/>
      <w:r w:rsidR="002E4857" w:rsidRPr="002E4857">
        <w:rPr>
          <w:rFonts w:ascii="Arial" w:hAnsi="Arial" w:cs="Arial"/>
          <w:sz w:val="24"/>
          <w:szCs w:val="24"/>
          <w:lang w:val="x-none"/>
        </w:rPr>
        <w:t xml:space="preserve"> pravo</w:t>
      </w:r>
      <w:r w:rsidR="002E4857" w:rsidRPr="002E4857">
        <w:rPr>
          <w:rFonts w:ascii="Arial" w:hAnsi="Arial" w:cs="Arial"/>
          <w:sz w:val="24"/>
          <w:szCs w:val="24"/>
        </w:rPr>
        <w:t xml:space="preserve"> </w:t>
      </w:r>
      <w:r w:rsidR="002E4857" w:rsidRPr="002E4857">
        <w:rPr>
          <w:rFonts w:ascii="Arial" w:hAnsi="Arial" w:cs="Arial"/>
          <w:sz w:val="24"/>
          <w:szCs w:val="24"/>
          <w:lang w:val="x-none"/>
        </w:rPr>
        <w:t>radi provedbe plana restrukturiranja</w:t>
      </w:r>
      <w:r w:rsidR="002E4857" w:rsidRPr="002E4857">
        <w:rPr>
          <w:rStyle w:val="Referencafusnote"/>
          <w:rFonts w:ascii="Arial" w:hAnsi="Arial" w:cs="Arial"/>
          <w:sz w:val="24"/>
          <w:szCs w:val="24"/>
          <w:lang w:val="x-none"/>
        </w:rPr>
        <w:footnoteReference w:id="159"/>
      </w:r>
      <w:r w:rsidR="002E4857" w:rsidRPr="002E4857">
        <w:rPr>
          <w:rFonts w:ascii="Arial" w:hAnsi="Arial" w:cs="Arial"/>
          <w:sz w:val="24"/>
          <w:szCs w:val="24"/>
          <w:lang w:val="x-none"/>
        </w:rPr>
        <w:t>.</w:t>
      </w:r>
    </w:p>
    <w:p w:rsidR="002E4857" w:rsidRDefault="002E4857" w:rsidP="00F07D52">
      <w:pPr>
        <w:pStyle w:val="Bezproreda"/>
        <w:jc w:val="both"/>
      </w:pPr>
      <w:r w:rsidRPr="002E4857">
        <w:rPr>
          <w:b/>
        </w:rPr>
        <w:tab/>
      </w:r>
      <w:r w:rsidRPr="002E4857">
        <w:t xml:space="preserve">Odredba članka 66. točka 1. SZ-a propisuje da </w:t>
      </w:r>
      <w:proofErr w:type="spellStart"/>
      <w:r w:rsidRPr="002E4857">
        <w:t>predstečajni</w:t>
      </w:r>
      <w:proofErr w:type="spellEnd"/>
      <w:r w:rsidRPr="002E4857">
        <w:t xml:space="preserve"> postupak ne utječe na pravo odvojenog namirenja </w:t>
      </w:r>
      <w:proofErr w:type="spellStart"/>
      <w:r w:rsidRPr="002E4857">
        <w:t>razlučnih</w:t>
      </w:r>
      <w:proofErr w:type="spellEnd"/>
      <w:r w:rsidRPr="002E4857">
        <w:t xml:space="preserve"> vjerovnika, iako odredba članka 38. stavak 4. SZ-a dopušta da </w:t>
      </w:r>
      <w:proofErr w:type="spellStart"/>
      <w:r w:rsidRPr="002E4857">
        <w:t>predstečajni</w:t>
      </w:r>
      <w:proofErr w:type="spellEnd"/>
      <w:r w:rsidRPr="002E4857">
        <w:t xml:space="preserve"> sporazum zadire u pravo </w:t>
      </w:r>
      <w:proofErr w:type="spellStart"/>
      <w:r w:rsidRPr="002E4857">
        <w:t>razlučnih</w:t>
      </w:r>
      <w:proofErr w:type="spellEnd"/>
      <w:r w:rsidRPr="002E4857">
        <w:t xml:space="preserve"> vjerovnika ako je sporazumom to izrijekom određeno. Pravo na namirenje iz založene stvari je osnovni sadržaj založnog prava, a o volji vjerovnika ovisi da li će se služiti tim pravom ili ne. Slijedom toga, opravdano se postavlja pitanje koji je pravni učinak Izjave kojom se </w:t>
      </w:r>
      <w:proofErr w:type="spellStart"/>
      <w:r w:rsidRPr="002E4857">
        <w:t>razlučni</w:t>
      </w:r>
      <w:proofErr w:type="spellEnd"/>
      <w:r w:rsidRPr="002E4857">
        <w:t xml:space="preserve"> vjerovnik odrekao od prava na odvojeno namirenje? U pravnoj znanosti odricanje od nekog prava ima za posljedicu gubitak tog prava. Tako odricanje od prava na žalbu čini žalbu stranke koja se odrekla prava na žalbu nedopuštenom</w:t>
      </w:r>
      <w:r w:rsidRPr="002E4857">
        <w:rPr>
          <w:rStyle w:val="Referencafusnote"/>
          <w:rFonts w:cs="Arial"/>
          <w:szCs w:val="24"/>
        </w:rPr>
        <w:footnoteReference w:id="160"/>
      </w:r>
      <w:r w:rsidRPr="002E4857">
        <w:t>; nasljednik koji se odrekao od nasljedstva neće moći naslijediti ostavitelja</w:t>
      </w:r>
      <w:r w:rsidRPr="002E4857">
        <w:rPr>
          <w:rStyle w:val="Referencafusnote"/>
          <w:rFonts w:cs="Arial"/>
          <w:szCs w:val="24"/>
        </w:rPr>
        <w:footnoteReference w:id="161"/>
      </w:r>
      <w:r w:rsidRPr="002E4857">
        <w:t>; ovlaštenik prava prvokupa odricanjem od prava prvokupa gubi to pravo; te ima i niz drugih slučajeva. Dobrovoljno založno pravo prestaje apsolutno odreknućem, najčešće vraćanjem posjeda pokretne stvari. Za prestanak hipoteke nužno je i brisanje iz zemljišne knjige (modus).</w:t>
      </w:r>
    </w:p>
    <w:p w:rsidR="00F07D52" w:rsidRPr="002E4857" w:rsidRDefault="00F07D52" w:rsidP="00F07D52">
      <w:pPr>
        <w:pStyle w:val="Bezproreda"/>
        <w:jc w:val="both"/>
      </w:pPr>
    </w:p>
    <w:p w:rsidR="00F20261" w:rsidRDefault="002E4857" w:rsidP="00F20261">
      <w:pPr>
        <w:pStyle w:val="Bezproreda"/>
        <w:jc w:val="both"/>
      </w:pPr>
      <w:r w:rsidRPr="002E4857">
        <w:rPr>
          <w:b/>
        </w:rPr>
        <w:tab/>
      </w:r>
      <w:r w:rsidRPr="002E4857">
        <w:t xml:space="preserve">Zakon o financijskom poslovanju i </w:t>
      </w:r>
      <w:proofErr w:type="spellStart"/>
      <w:r w:rsidRPr="002E4857">
        <w:t>predstečajnoj</w:t>
      </w:r>
      <w:proofErr w:type="spellEnd"/>
      <w:r w:rsidRPr="002E4857">
        <w:t xml:space="preserve"> nagodbi ograničavao je učinak Izjave o odricanju od prava na odvojeno namirenje te je izjava obvezivala </w:t>
      </w:r>
      <w:proofErr w:type="spellStart"/>
      <w:r w:rsidRPr="002E4857">
        <w:t>razlučnog</w:t>
      </w:r>
      <w:proofErr w:type="spellEnd"/>
      <w:r w:rsidRPr="002E4857">
        <w:t xml:space="preserve"> vjerovnika samo tijekom postupka </w:t>
      </w:r>
      <w:proofErr w:type="spellStart"/>
      <w:r w:rsidRPr="002E4857">
        <w:t>predstečajne</w:t>
      </w:r>
      <w:proofErr w:type="spellEnd"/>
      <w:r w:rsidRPr="002E4857">
        <w:t xml:space="preserve"> nagodbe</w:t>
      </w:r>
      <w:r w:rsidRPr="002E4857">
        <w:rPr>
          <w:rStyle w:val="Referencafusnote"/>
          <w:rFonts w:cs="Arial"/>
          <w:szCs w:val="24"/>
        </w:rPr>
        <w:footnoteReference w:id="162"/>
      </w:r>
      <w:r w:rsidRPr="002E4857">
        <w:t xml:space="preserve">. Izjava o odricanju od prava na odvojeno namirenje nije utjecala na sadržaj i pravne učinke založnih i drugih prava koja su osnova </w:t>
      </w:r>
      <w:proofErr w:type="spellStart"/>
      <w:r w:rsidRPr="002E4857">
        <w:t>razlučnog</w:t>
      </w:r>
      <w:proofErr w:type="spellEnd"/>
      <w:r w:rsidRPr="002E4857">
        <w:t xml:space="preserve"> prava</w:t>
      </w:r>
      <w:r w:rsidRPr="002E4857">
        <w:rPr>
          <w:rStyle w:val="Referencafusnote"/>
          <w:rFonts w:cs="Arial"/>
          <w:szCs w:val="24"/>
        </w:rPr>
        <w:footnoteReference w:id="163"/>
      </w:r>
      <w:r w:rsidRPr="002E4857">
        <w:t xml:space="preserve">. Nadalje, </w:t>
      </w:r>
      <w:proofErr w:type="spellStart"/>
      <w:r w:rsidRPr="002E4857">
        <w:t>razlučni</w:t>
      </w:r>
      <w:proofErr w:type="spellEnd"/>
      <w:r w:rsidRPr="002E4857">
        <w:t xml:space="preserve"> vjerovnik mogao je povući svoju izjavu o odricanju od prava na odvojeno namirenje</w:t>
      </w:r>
      <w:r w:rsidRPr="002E4857">
        <w:rPr>
          <w:rStyle w:val="Referencafusnote"/>
          <w:rFonts w:cs="Arial"/>
          <w:szCs w:val="24"/>
        </w:rPr>
        <w:footnoteReference w:id="164"/>
      </w:r>
      <w:r w:rsidRPr="002E4857">
        <w:t xml:space="preserve">. </w:t>
      </w:r>
    </w:p>
    <w:p w:rsidR="00F20261" w:rsidRDefault="00F20261" w:rsidP="00F20261">
      <w:pPr>
        <w:pStyle w:val="Bezproreda"/>
        <w:jc w:val="both"/>
      </w:pPr>
    </w:p>
    <w:p w:rsidR="002E4857" w:rsidRDefault="002E4857" w:rsidP="00F20261">
      <w:pPr>
        <w:pStyle w:val="Bezproreda"/>
        <w:ind w:firstLine="708"/>
        <w:jc w:val="both"/>
      </w:pPr>
      <w:r w:rsidRPr="002E4857">
        <w:t xml:space="preserve">Stečajni zakon također propisuje da </w:t>
      </w:r>
      <w:proofErr w:type="spellStart"/>
      <w:r w:rsidRPr="002E4857">
        <w:t>predstečajni</w:t>
      </w:r>
      <w:proofErr w:type="spellEnd"/>
      <w:r w:rsidRPr="002E4857">
        <w:t xml:space="preserve"> postupak na utječe na pravo odvojenog namirenja </w:t>
      </w:r>
      <w:proofErr w:type="spellStart"/>
      <w:r w:rsidRPr="002E4857">
        <w:t>razlučnih</w:t>
      </w:r>
      <w:proofErr w:type="spellEnd"/>
      <w:r w:rsidRPr="002E4857">
        <w:t xml:space="preserve"> vjerovnika</w:t>
      </w:r>
      <w:r w:rsidRPr="002E4857">
        <w:rPr>
          <w:rStyle w:val="Referencafusnote"/>
          <w:rFonts w:cs="Arial"/>
          <w:szCs w:val="24"/>
        </w:rPr>
        <w:footnoteReference w:id="165"/>
      </w:r>
      <w:r w:rsidRPr="002E4857">
        <w:t>. U vezi s izloženim nije jasno koji je pravni učinak Izjave o odricanju od prava na odvojeno namirenje prema odredbama važećeg Zakona pa se imaju primijeniti odredbe Zakona o vlasništvu i drugim stvarnim pravima</w:t>
      </w:r>
      <w:r w:rsidRPr="002E4857">
        <w:rPr>
          <w:rStyle w:val="Referencafusnote"/>
          <w:rFonts w:cs="Arial"/>
          <w:szCs w:val="24"/>
        </w:rPr>
        <w:footnoteReference w:id="166"/>
      </w:r>
      <w:r w:rsidRPr="002E4857">
        <w:t xml:space="preserve">. Slijedom toga, ako se </w:t>
      </w:r>
      <w:proofErr w:type="spellStart"/>
      <w:r w:rsidRPr="002E4857">
        <w:t>razlučni</w:t>
      </w:r>
      <w:proofErr w:type="spellEnd"/>
      <w:r w:rsidRPr="002E4857">
        <w:t xml:space="preserve"> vjerovnik odrekao prava na odvojeno namirenje njegovo založno pravo trebalo bi prestati brisanjem u zemljišnim knjigama na temelju valjanog odreknuća</w:t>
      </w:r>
      <w:r w:rsidRPr="002E4857">
        <w:rPr>
          <w:rStyle w:val="Referencafusnote"/>
          <w:rFonts w:cs="Arial"/>
          <w:szCs w:val="24"/>
        </w:rPr>
        <w:footnoteReference w:id="167"/>
      </w:r>
      <w:r w:rsidRPr="002E4857">
        <w:t xml:space="preserve">, a dužnik može na temelju takve izjave koja je ovjerena kod javnog bilježnika podnijeti prijedlog zemljišnoknjižnom sudu za brisanje založnog prava ili podnijeti tužbu za izdavanje valjane isprave za brisanje hipoteke u zemljišnim knjigama. Međutim, ako izjava o odreknuću od prava na odvojeno namirenje nije podobna za brisanje hipoteke, ona ima samo ograničeni učinak u </w:t>
      </w:r>
      <w:proofErr w:type="spellStart"/>
      <w:r w:rsidRPr="002E4857">
        <w:t>predstečajnom</w:t>
      </w:r>
      <w:proofErr w:type="spellEnd"/>
      <w:r w:rsidRPr="002E4857">
        <w:t xml:space="preserve"> postupku pa se ima smatrati da je </w:t>
      </w:r>
      <w:proofErr w:type="spellStart"/>
      <w:r w:rsidRPr="002E4857">
        <w:t>razlučni</w:t>
      </w:r>
      <w:proofErr w:type="spellEnd"/>
      <w:r w:rsidRPr="002E4857">
        <w:t xml:space="preserve"> vjerovnik pristao na odgodu </w:t>
      </w:r>
      <w:r w:rsidRPr="002E4857">
        <w:rPr>
          <w:lang w:val="x-none"/>
        </w:rPr>
        <w:t>namirenja iz predmeta na koji se odnosi nj</w:t>
      </w:r>
      <w:r w:rsidRPr="002E4857">
        <w:t>egovo</w:t>
      </w:r>
      <w:r w:rsidRPr="002E4857">
        <w:rPr>
          <w:lang w:val="x-none"/>
        </w:rPr>
        <w:t xml:space="preserve"> </w:t>
      </w:r>
      <w:proofErr w:type="spellStart"/>
      <w:r w:rsidRPr="002E4857">
        <w:rPr>
          <w:lang w:val="x-none"/>
        </w:rPr>
        <w:t>razlučno</w:t>
      </w:r>
      <w:proofErr w:type="spellEnd"/>
      <w:r w:rsidRPr="002E4857">
        <w:rPr>
          <w:lang w:val="x-none"/>
        </w:rPr>
        <w:t xml:space="preserve"> pravo</w:t>
      </w:r>
      <w:r w:rsidRPr="002E4857">
        <w:t xml:space="preserve"> do okončanja </w:t>
      </w:r>
      <w:proofErr w:type="spellStart"/>
      <w:r w:rsidRPr="002E4857">
        <w:t>predstečajnog</w:t>
      </w:r>
      <w:proofErr w:type="spellEnd"/>
      <w:r w:rsidRPr="002E4857">
        <w:t xml:space="preserve"> postupka. </w:t>
      </w:r>
    </w:p>
    <w:p w:rsidR="00F20261" w:rsidRPr="002E4857" w:rsidRDefault="00F20261" w:rsidP="00F20261">
      <w:pPr>
        <w:pStyle w:val="Bezproreda"/>
        <w:jc w:val="both"/>
      </w:pPr>
    </w:p>
    <w:p w:rsidR="00F20261" w:rsidRDefault="002E4857" w:rsidP="00B03254">
      <w:pPr>
        <w:pStyle w:val="Bezproreda"/>
        <w:ind w:firstLine="708"/>
        <w:jc w:val="both"/>
      </w:pPr>
      <w:r w:rsidRPr="002E4857">
        <w:t xml:space="preserve">Izjava kojom </w:t>
      </w:r>
      <w:proofErr w:type="spellStart"/>
      <w:r w:rsidRPr="002E4857">
        <w:t>razlučni</w:t>
      </w:r>
      <w:proofErr w:type="spellEnd"/>
      <w:r w:rsidRPr="002E4857">
        <w:t xml:space="preserve"> vjerovnik pristaje na odgodu namirenja radi provedbe plana restrukturiranja ima učinak samo ako je potvrđen plan restrukturiranja. </w:t>
      </w:r>
      <w:r w:rsidR="00F20261" w:rsidRPr="00F20261">
        <w:t xml:space="preserve">U </w:t>
      </w:r>
      <w:proofErr w:type="spellStart"/>
      <w:r w:rsidR="00F20261" w:rsidRPr="00F20261">
        <w:t>predstečajnom</w:t>
      </w:r>
      <w:proofErr w:type="spellEnd"/>
      <w:r w:rsidR="00F20261" w:rsidRPr="00F20261">
        <w:t xml:space="preserve"> sporazumu će se odrediti rok u kojemu </w:t>
      </w:r>
      <w:proofErr w:type="spellStart"/>
      <w:r w:rsidR="00F20261" w:rsidRPr="00F20261">
        <w:t>razlučni</w:t>
      </w:r>
      <w:proofErr w:type="spellEnd"/>
      <w:r w:rsidR="00F20261" w:rsidRPr="00F20261">
        <w:t xml:space="preserve"> vjerovnik ne može koristiti pravo na odvojeno </w:t>
      </w:r>
      <w:r w:rsidR="00F20261" w:rsidRPr="00F20261">
        <w:lastRenderedPageBreak/>
        <w:t xml:space="preserve">namirenje. </w:t>
      </w:r>
      <w:r w:rsidR="00F07D52">
        <w:t xml:space="preserve">Ovu </w:t>
      </w:r>
      <w:proofErr w:type="spellStart"/>
      <w:r w:rsidR="00F07D52">
        <w:t>Izajvu</w:t>
      </w:r>
      <w:proofErr w:type="spellEnd"/>
      <w:r w:rsidR="00F07D52">
        <w:t xml:space="preserve"> </w:t>
      </w:r>
      <w:proofErr w:type="spellStart"/>
      <w:r w:rsidR="00F07D52">
        <w:t>razlučni</w:t>
      </w:r>
      <w:proofErr w:type="spellEnd"/>
      <w:r w:rsidR="00F07D52">
        <w:t xml:space="preserve"> vjerovnici mogu povući najkasnije do početka ročišta za glasovanje o planu restrukturiranja ako su planom restrukturiranja njihova prava smanjena ili je ostvarenje njihovog prava izmijenjeno nakon davanja izjave.</w:t>
      </w:r>
    </w:p>
    <w:p w:rsidR="00B03254" w:rsidRPr="00F20261" w:rsidRDefault="00B03254" w:rsidP="00B03254">
      <w:pPr>
        <w:pStyle w:val="Bezproreda"/>
        <w:jc w:val="both"/>
      </w:pPr>
    </w:p>
    <w:p w:rsidR="00F20261" w:rsidRPr="002E4857" w:rsidRDefault="002E4857" w:rsidP="00B03254">
      <w:pPr>
        <w:pStyle w:val="Bezproreda"/>
        <w:jc w:val="both"/>
      </w:pPr>
      <w:r w:rsidRPr="002E4857">
        <w:tab/>
      </w:r>
      <w:proofErr w:type="spellStart"/>
      <w:r w:rsidRPr="002E4857">
        <w:rPr>
          <w:lang w:val="x-none"/>
        </w:rPr>
        <w:t>Predstečajni</w:t>
      </w:r>
      <w:proofErr w:type="spellEnd"/>
      <w:r w:rsidRPr="002E4857">
        <w:rPr>
          <w:lang w:val="x-none"/>
        </w:rPr>
        <w:t xml:space="preserve"> sporazum ne smije zadirati u prav</w:t>
      </w:r>
      <w:r w:rsidRPr="002E4857">
        <w:t>a</w:t>
      </w:r>
      <w:r w:rsidRPr="002E4857">
        <w:rPr>
          <w:lang w:val="x-none"/>
        </w:rPr>
        <w:t xml:space="preserve"> </w:t>
      </w:r>
      <w:proofErr w:type="spellStart"/>
      <w:r w:rsidRPr="002E4857">
        <w:rPr>
          <w:lang w:val="x-none"/>
        </w:rPr>
        <w:t>razlučnih</w:t>
      </w:r>
      <w:proofErr w:type="spellEnd"/>
      <w:r w:rsidRPr="002E4857">
        <w:rPr>
          <w:lang w:val="x-none"/>
        </w:rPr>
        <w:t xml:space="preserve"> vjerovnika na namirenje iz predmeta na kojima postoj</w:t>
      </w:r>
      <w:r w:rsidRPr="002E4857">
        <w:t>i</w:t>
      </w:r>
      <w:r w:rsidRPr="002E4857">
        <w:rPr>
          <w:lang w:val="x-none"/>
        </w:rPr>
        <w:t xml:space="preserve"> prav</w:t>
      </w:r>
      <w:r w:rsidRPr="002E4857">
        <w:t>o</w:t>
      </w:r>
      <w:r w:rsidRPr="002E4857">
        <w:rPr>
          <w:lang w:val="x-none"/>
        </w:rPr>
        <w:t xml:space="preserve"> odvojenoga namirenja, ako tim sporazumom nije izrijekom drukčije određeno</w:t>
      </w:r>
      <w:r w:rsidRPr="002E4857">
        <w:rPr>
          <w:rStyle w:val="Referencafusnote"/>
          <w:rFonts w:cs="Arial"/>
          <w:szCs w:val="24"/>
          <w:lang w:val="x-none"/>
        </w:rPr>
        <w:footnoteReference w:id="168"/>
      </w:r>
      <w:r w:rsidRPr="002E4857">
        <w:rPr>
          <w:lang w:val="x-none"/>
        </w:rPr>
        <w:t xml:space="preserve">. </w:t>
      </w:r>
      <w:r w:rsidRPr="002E4857">
        <w:t>Zakon dopušta mogućnost da p</w:t>
      </w:r>
      <w:proofErr w:type="spellStart"/>
      <w:r w:rsidRPr="002E4857">
        <w:rPr>
          <w:lang w:val="x-none"/>
        </w:rPr>
        <w:t>redstečajni</w:t>
      </w:r>
      <w:proofErr w:type="spellEnd"/>
      <w:r w:rsidRPr="002E4857">
        <w:rPr>
          <w:lang w:val="x-none"/>
        </w:rPr>
        <w:t xml:space="preserve"> sporazum</w:t>
      </w:r>
      <w:r w:rsidRPr="002E4857">
        <w:t xml:space="preserve"> zadire u prava </w:t>
      </w:r>
      <w:proofErr w:type="spellStart"/>
      <w:r w:rsidRPr="002E4857">
        <w:t>razlučnih</w:t>
      </w:r>
      <w:proofErr w:type="spellEnd"/>
      <w:r w:rsidRPr="002E4857">
        <w:t xml:space="preserve"> vjerovnika samo ako je r</w:t>
      </w:r>
      <w:proofErr w:type="spellStart"/>
      <w:r w:rsidRPr="002E4857">
        <w:rPr>
          <w:lang w:val="x-none"/>
        </w:rPr>
        <w:t>azlučni</w:t>
      </w:r>
      <w:proofErr w:type="spellEnd"/>
      <w:r w:rsidRPr="002E4857">
        <w:rPr>
          <w:lang w:val="x-none"/>
        </w:rPr>
        <w:t xml:space="preserve"> vjerovni</w:t>
      </w:r>
      <w:r w:rsidRPr="002E4857">
        <w:t>k</w:t>
      </w:r>
      <w:r w:rsidRPr="002E4857">
        <w:rPr>
          <w:lang w:val="x-none"/>
        </w:rPr>
        <w:t xml:space="preserve"> u </w:t>
      </w:r>
      <w:r w:rsidRPr="002E4857">
        <w:t xml:space="preserve">obavijesti o svom pravu </w:t>
      </w:r>
      <w:r w:rsidRPr="002E4857">
        <w:rPr>
          <w:lang w:val="x-none"/>
        </w:rPr>
        <w:t>da</w:t>
      </w:r>
      <w:r w:rsidRPr="002E4857">
        <w:t>o</w:t>
      </w:r>
      <w:r w:rsidRPr="002E4857">
        <w:rPr>
          <w:lang w:val="x-none"/>
        </w:rPr>
        <w:t xml:space="preserve"> </w:t>
      </w:r>
      <w:r w:rsidRPr="002E4857">
        <w:t>I</w:t>
      </w:r>
      <w:proofErr w:type="spellStart"/>
      <w:r w:rsidRPr="002E4857">
        <w:rPr>
          <w:lang w:val="x-none"/>
        </w:rPr>
        <w:t>zjavu</w:t>
      </w:r>
      <w:proofErr w:type="spellEnd"/>
      <w:r w:rsidRPr="002E4857">
        <w:rPr>
          <w:lang w:val="x-none"/>
        </w:rPr>
        <w:t xml:space="preserve"> </w:t>
      </w:r>
      <w:r w:rsidRPr="002E4857">
        <w:t xml:space="preserve">da se odriče od prava na odvojeno namirenje ili je dao Izjavu kojom </w:t>
      </w:r>
      <w:r w:rsidRPr="002E4857">
        <w:rPr>
          <w:lang w:val="x-none"/>
        </w:rPr>
        <w:t>prista</w:t>
      </w:r>
      <w:r w:rsidRPr="002E4857">
        <w:t>je na</w:t>
      </w:r>
      <w:r w:rsidRPr="002E4857">
        <w:rPr>
          <w:lang w:val="x-none"/>
        </w:rPr>
        <w:t xml:space="preserve"> odgod</w:t>
      </w:r>
      <w:r w:rsidRPr="002E4857">
        <w:t>u</w:t>
      </w:r>
      <w:r w:rsidRPr="002E4857">
        <w:rPr>
          <w:lang w:val="x-none"/>
        </w:rPr>
        <w:t xml:space="preserve"> namirenja iz predmeta na koji se odnosi nj</w:t>
      </w:r>
      <w:r w:rsidRPr="002E4857">
        <w:t>egovo</w:t>
      </w:r>
      <w:r w:rsidRPr="002E4857">
        <w:rPr>
          <w:lang w:val="x-none"/>
        </w:rPr>
        <w:t xml:space="preserve"> </w:t>
      </w:r>
      <w:proofErr w:type="spellStart"/>
      <w:r w:rsidRPr="002E4857">
        <w:rPr>
          <w:lang w:val="x-none"/>
        </w:rPr>
        <w:t>razlučno</w:t>
      </w:r>
      <w:proofErr w:type="spellEnd"/>
      <w:r w:rsidRPr="002E4857">
        <w:rPr>
          <w:lang w:val="x-none"/>
        </w:rPr>
        <w:t xml:space="preserve"> pravo</w:t>
      </w:r>
      <w:r w:rsidRPr="002E4857">
        <w:t>. Z</w:t>
      </w:r>
      <w:r w:rsidRPr="002E4857">
        <w:rPr>
          <w:lang w:val="x-none"/>
        </w:rPr>
        <w:t xml:space="preserve">a </w:t>
      </w:r>
      <w:proofErr w:type="spellStart"/>
      <w:r w:rsidRPr="002E4857">
        <w:rPr>
          <w:lang w:val="x-none"/>
        </w:rPr>
        <w:t>razlučne</w:t>
      </w:r>
      <w:proofErr w:type="spellEnd"/>
      <w:r w:rsidRPr="002E4857">
        <w:rPr>
          <w:lang w:val="x-none"/>
        </w:rPr>
        <w:t xml:space="preserve"> vjerovnike posebno će se navesti u kojem se dijelu njihova prava smanjuju, na koje vrijeme se odgađa namirenje i koje druge odredbe </w:t>
      </w:r>
      <w:proofErr w:type="spellStart"/>
      <w:r w:rsidRPr="002E4857">
        <w:rPr>
          <w:lang w:val="x-none"/>
        </w:rPr>
        <w:t>predstečajnog</w:t>
      </w:r>
      <w:proofErr w:type="spellEnd"/>
      <w:r w:rsidRPr="002E4857">
        <w:rPr>
          <w:lang w:val="x-none"/>
        </w:rPr>
        <w:t xml:space="preserve"> sporazuma prema njima djeluju.</w:t>
      </w:r>
      <w:r w:rsidR="00F20261" w:rsidRPr="00F20261">
        <w:t xml:space="preserve"> </w:t>
      </w:r>
      <w:r w:rsidR="00F20261" w:rsidRPr="002E4857">
        <w:t xml:space="preserve">U sudskoj praksi imamo slučajeve u kojima se </w:t>
      </w:r>
      <w:proofErr w:type="spellStart"/>
      <w:r w:rsidR="00F20261" w:rsidRPr="002E4857">
        <w:t>razlučni</w:t>
      </w:r>
      <w:proofErr w:type="spellEnd"/>
      <w:r w:rsidR="00F20261" w:rsidRPr="002E4857">
        <w:t xml:space="preserve"> vjerovnik odrekao od prava na odvojeno namirenje te plan restrukturiranja zadire u pravo </w:t>
      </w:r>
      <w:proofErr w:type="spellStart"/>
      <w:r w:rsidR="00F20261" w:rsidRPr="002E4857">
        <w:t>razlučnog</w:t>
      </w:r>
      <w:proofErr w:type="spellEnd"/>
      <w:r w:rsidR="00F20261" w:rsidRPr="002E4857">
        <w:t xml:space="preserve"> vjerovnika na način da je umanjena njegova tražbina osigurana založnim pravom. U vezi s navedenim postavlja se pitanje na koji će način dužnik u zemljišnim knjigama izvršiti upis umanjenja tražbine </w:t>
      </w:r>
      <w:proofErr w:type="spellStart"/>
      <w:r w:rsidR="00F20261" w:rsidRPr="002E4857">
        <w:t>razlučnog</w:t>
      </w:r>
      <w:proofErr w:type="spellEnd"/>
      <w:r w:rsidR="00F20261" w:rsidRPr="002E4857">
        <w:t xml:space="preserve"> vjerovnika osigurane hipotekom ? Jedan od način je da sud u </w:t>
      </w:r>
      <w:proofErr w:type="spellStart"/>
      <w:r w:rsidR="00F20261" w:rsidRPr="002E4857">
        <w:t>predstečajnom</w:t>
      </w:r>
      <w:proofErr w:type="spellEnd"/>
      <w:r w:rsidR="00F20261" w:rsidRPr="002E4857">
        <w:t xml:space="preserve"> postupku rješenjem naložio zemljišnoknjižnom sudu upis smanjenja tražbine osigurane hipotekom, a drugi je način da dužnik posebnom tužbom zahtijeva brisanje u zemljišnim knjigama.</w:t>
      </w:r>
    </w:p>
    <w:p w:rsidR="002E4857" w:rsidRPr="002E4857" w:rsidRDefault="002E4857" w:rsidP="00B03254">
      <w:pPr>
        <w:pStyle w:val="Bezproreda"/>
        <w:jc w:val="both"/>
      </w:pPr>
    </w:p>
    <w:p w:rsidR="002E4857" w:rsidRDefault="002E4857" w:rsidP="00092651">
      <w:pPr>
        <w:pStyle w:val="Bezproreda"/>
        <w:jc w:val="both"/>
      </w:pPr>
      <w:r w:rsidRPr="002E4857">
        <w:tab/>
      </w:r>
      <w:proofErr w:type="spellStart"/>
      <w:r w:rsidRPr="002E4857">
        <w:t>Razlučni</w:t>
      </w:r>
      <w:proofErr w:type="spellEnd"/>
      <w:r w:rsidRPr="002E4857">
        <w:t xml:space="preserve"> vjerovnik koji je dao izjavu o odricanju od prava na odvojeno namirenje sudjeluje u </w:t>
      </w:r>
      <w:proofErr w:type="spellStart"/>
      <w:r w:rsidRPr="002E4857">
        <w:t>predstečajnom</w:t>
      </w:r>
      <w:proofErr w:type="spellEnd"/>
      <w:r w:rsidRPr="002E4857">
        <w:t xml:space="preserve"> postupku. Tablica prijavljenih tražbina, koju sastavlja F</w:t>
      </w:r>
      <w:r w:rsidR="00F20261">
        <w:t>INA</w:t>
      </w:r>
      <w:r w:rsidRPr="002E4857">
        <w:t xml:space="preserve">, među inim podacima, sadrži i predmet na kojemu postoji </w:t>
      </w:r>
      <w:proofErr w:type="spellStart"/>
      <w:r w:rsidRPr="002E4857">
        <w:t>razlučno</w:t>
      </w:r>
      <w:proofErr w:type="spellEnd"/>
      <w:r w:rsidRPr="002E4857">
        <w:t xml:space="preserve"> pravo. Na ročištu radi ispitivanja tražbina </w:t>
      </w:r>
      <w:proofErr w:type="spellStart"/>
      <w:r w:rsidRPr="002E4857">
        <w:t>razlučna</w:t>
      </w:r>
      <w:proofErr w:type="spellEnd"/>
      <w:r w:rsidRPr="002E4857">
        <w:t xml:space="preserve"> prava nisu predmet ispitivanja, a sud sastavlja tablicu ispitanih tražbina i tablicu </w:t>
      </w:r>
      <w:proofErr w:type="spellStart"/>
      <w:r w:rsidRPr="002E4857">
        <w:t>razlučnih</w:t>
      </w:r>
      <w:proofErr w:type="spellEnd"/>
      <w:r w:rsidRPr="002E4857">
        <w:t xml:space="preserve"> prava. </w:t>
      </w:r>
      <w:r w:rsidRPr="00F20261">
        <w:t xml:space="preserve">U tablicu </w:t>
      </w:r>
      <w:proofErr w:type="spellStart"/>
      <w:r w:rsidRPr="00F20261">
        <w:t>razlučnih</w:t>
      </w:r>
      <w:proofErr w:type="spellEnd"/>
      <w:r w:rsidRPr="00F20261">
        <w:t xml:space="preserve"> prava unose se tražbine </w:t>
      </w:r>
      <w:proofErr w:type="spellStart"/>
      <w:r w:rsidRPr="00F20261">
        <w:t>razlučnih</w:t>
      </w:r>
      <w:proofErr w:type="spellEnd"/>
      <w:r w:rsidRPr="00F20261">
        <w:t xml:space="preserve"> vjerovnika ako plan restrukturiranja zadire u njihova prava.</w:t>
      </w:r>
      <w:r w:rsidR="00F20261">
        <w:rPr>
          <w:rStyle w:val="Referencafusnote"/>
          <w:rFonts w:cs="Arial"/>
          <w:szCs w:val="24"/>
        </w:rPr>
        <w:footnoteReference w:id="169"/>
      </w:r>
    </w:p>
    <w:p w:rsidR="00092651" w:rsidRPr="00F20261" w:rsidRDefault="00092651" w:rsidP="00092651">
      <w:pPr>
        <w:pStyle w:val="Bezproreda"/>
        <w:jc w:val="both"/>
      </w:pPr>
    </w:p>
    <w:p w:rsidR="008664BC" w:rsidRPr="007F3304" w:rsidRDefault="002E4857" w:rsidP="00092651">
      <w:pPr>
        <w:pStyle w:val="Bezproreda"/>
        <w:jc w:val="both"/>
      </w:pPr>
      <w:r w:rsidRPr="002E4857">
        <w:tab/>
      </w:r>
      <w:r w:rsidR="0025651C" w:rsidRPr="007F3304">
        <w:t xml:space="preserve">Zakon ne pravi razliku </w:t>
      </w:r>
      <w:r w:rsidR="004F1548" w:rsidRPr="007F3304">
        <w:t xml:space="preserve">između </w:t>
      </w:r>
      <w:proofErr w:type="spellStart"/>
      <w:r w:rsidR="000061C8" w:rsidRPr="007F3304">
        <w:t>razlučnih</w:t>
      </w:r>
      <w:proofErr w:type="spellEnd"/>
      <w:r w:rsidR="000061C8" w:rsidRPr="007F3304">
        <w:t xml:space="preserve"> vjerovnika kojima je dužnik osobno odgovoran od </w:t>
      </w:r>
      <w:proofErr w:type="spellStart"/>
      <w:r w:rsidR="004F1548" w:rsidRPr="007F3304">
        <w:t>razlučnih</w:t>
      </w:r>
      <w:proofErr w:type="spellEnd"/>
      <w:r w:rsidR="004F1548" w:rsidRPr="007F3304">
        <w:t xml:space="preserve"> vjerovnika </w:t>
      </w:r>
      <w:r w:rsidR="000061C8" w:rsidRPr="007F3304">
        <w:t>koji</w:t>
      </w:r>
      <w:r w:rsidR="0025651C" w:rsidRPr="007F3304">
        <w:t xml:space="preserve">ma dužnik nije </w:t>
      </w:r>
      <w:r w:rsidR="000061C8" w:rsidRPr="007F3304">
        <w:t>osobn</w:t>
      </w:r>
      <w:r w:rsidR="0025651C" w:rsidRPr="007F3304">
        <w:t xml:space="preserve">o </w:t>
      </w:r>
      <w:proofErr w:type="spellStart"/>
      <w:r w:rsidR="0025651C" w:rsidRPr="007F3304">
        <w:t>osdgovoran</w:t>
      </w:r>
      <w:proofErr w:type="spellEnd"/>
      <w:r w:rsidR="0025651C" w:rsidRPr="007F3304">
        <w:t>.</w:t>
      </w:r>
      <w:r w:rsidR="004F1548" w:rsidRPr="007F3304">
        <w:t xml:space="preserve"> U pogledu njihovih izjava ne bi trebalo biti razlike što znači da svi </w:t>
      </w:r>
      <w:proofErr w:type="spellStart"/>
      <w:r w:rsidR="004F1548" w:rsidRPr="007F3304">
        <w:t>razlučni</w:t>
      </w:r>
      <w:proofErr w:type="spellEnd"/>
      <w:r w:rsidR="004F1548" w:rsidRPr="007F3304">
        <w:t xml:space="preserve"> vjerovnici mogu u </w:t>
      </w:r>
      <w:proofErr w:type="spellStart"/>
      <w:r w:rsidR="004F1548" w:rsidRPr="007F3304">
        <w:t>predstečajnom</w:t>
      </w:r>
      <w:proofErr w:type="spellEnd"/>
      <w:r w:rsidR="004F1548" w:rsidRPr="007F3304">
        <w:t xml:space="preserve"> postupku davati izjave o odricanju od prava na odvojeno namirenja</w:t>
      </w:r>
      <w:r w:rsidR="0025651C" w:rsidRPr="007F3304">
        <w:t xml:space="preserve"> i izjavu o pristanku na odgodu namirenja</w:t>
      </w:r>
      <w:r w:rsidR="004F1548" w:rsidRPr="007F3304">
        <w:t>.</w:t>
      </w:r>
      <w:r w:rsidR="008664BC" w:rsidRPr="007F3304">
        <w:t xml:space="preserve"> Ipak malo je vjerojatno da će </w:t>
      </w:r>
      <w:proofErr w:type="spellStart"/>
      <w:r w:rsidR="008664BC" w:rsidRPr="007F3304">
        <w:t>razlučni</w:t>
      </w:r>
      <w:proofErr w:type="spellEnd"/>
      <w:r w:rsidR="008664BC" w:rsidRPr="007F3304">
        <w:t xml:space="preserve"> vjerovnik koji nije i osobni vjerovnik dužnika dati izjavu kojom se odriče prava na odvojeno namirenje jer se on ne može namirivati kao osobni vjerovnici dužnika već samo iz založene stvari. </w:t>
      </w:r>
    </w:p>
    <w:p w:rsidR="00C57425" w:rsidRDefault="00C57425" w:rsidP="007F3304">
      <w:pPr>
        <w:jc w:val="both"/>
        <w:rPr>
          <w:rFonts w:ascii="Times New Roman" w:hAnsi="Times New Roman" w:cs="Times New Roman"/>
          <w:sz w:val="24"/>
          <w:szCs w:val="24"/>
        </w:rPr>
      </w:pPr>
    </w:p>
    <w:p w:rsidR="00DE521B" w:rsidRPr="00281FC4" w:rsidRDefault="00281FC4" w:rsidP="00281FC4">
      <w:pPr>
        <w:pStyle w:val="Naslov3"/>
      </w:pPr>
      <w:bookmarkStart w:id="28" w:name="_Toc507067626"/>
      <w:r>
        <w:t xml:space="preserve">2.3.5. </w:t>
      </w:r>
      <w:r w:rsidR="00DE521B" w:rsidRPr="00281FC4">
        <w:t>Naknada za prijavljene tražbine</w:t>
      </w:r>
      <w:bookmarkEnd w:id="28"/>
    </w:p>
    <w:p w:rsidR="00DE521B" w:rsidRPr="005F552D" w:rsidRDefault="00DE521B" w:rsidP="00DE521B">
      <w:pPr>
        <w:autoSpaceDE w:val="0"/>
        <w:autoSpaceDN w:val="0"/>
        <w:adjustRightInd w:val="0"/>
        <w:spacing w:before="120" w:after="120" w:line="240" w:lineRule="auto"/>
        <w:jc w:val="both"/>
        <w:rPr>
          <w:rFonts w:ascii="Arial" w:hAnsi="Arial" w:cs="Arial"/>
          <w:sz w:val="24"/>
          <w:szCs w:val="24"/>
        </w:rPr>
      </w:pPr>
      <w:r w:rsidRPr="00F93175">
        <w:rPr>
          <w:rFonts w:ascii="Arial" w:hAnsi="Arial" w:cs="Arial"/>
          <w:sz w:val="24"/>
          <w:szCs w:val="24"/>
        </w:rPr>
        <w:tab/>
      </w:r>
      <w:r w:rsidRPr="005F552D">
        <w:rPr>
          <w:rFonts w:ascii="Arial" w:hAnsi="Arial" w:cs="Arial"/>
          <w:sz w:val="24"/>
          <w:szCs w:val="24"/>
          <w:lang w:val="x-none"/>
        </w:rPr>
        <w:t xml:space="preserve">Ako je pojedina prijavljena tražbina navedena u prijedlogu za otvaranje </w:t>
      </w:r>
      <w:proofErr w:type="spellStart"/>
      <w:r w:rsidRPr="005F552D">
        <w:rPr>
          <w:rFonts w:ascii="Arial" w:hAnsi="Arial" w:cs="Arial"/>
          <w:sz w:val="24"/>
          <w:szCs w:val="24"/>
          <w:lang w:val="x-none"/>
        </w:rPr>
        <w:t>predstečajnog</w:t>
      </w:r>
      <w:proofErr w:type="spellEnd"/>
      <w:r w:rsidRPr="005F552D">
        <w:rPr>
          <w:rFonts w:ascii="Arial" w:hAnsi="Arial" w:cs="Arial"/>
          <w:sz w:val="24"/>
          <w:szCs w:val="24"/>
          <w:lang w:val="x-none"/>
        </w:rPr>
        <w:t xml:space="preserve"> postupka i bude osporena, podnositelj prijave dužan je za prijavu svake pojedine tražbine platiti naknadu F</w:t>
      </w:r>
      <w:r w:rsidRPr="005F552D">
        <w:rPr>
          <w:rFonts w:ascii="Arial" w:hAnsi="Arial" w:cs="Arial"/>
          <w:sz w:val="24"/>
          <w:szCs w:val="24"/>
        </w:rPr>
        <w:t>INA-i</w:t>
      </w:r>
      <w:r w:rsidRPr="005F552D">
        <w:rPr>
          <w:rFonts w:ascii="Arial" w:hAnsi="Arial" w:cs="Arial"/>
          <w:sz w:val="24"/>
          <w:szCs w:val="24"/>
          <w:lang w:val="x-none"/>
        </w:rPr>
        <w:t xml:space="preserve"> u iznosu od 2 % od iznosa tražbine, ali ne više od 200,00 kuna.</w:t>
      </w:r>
      <w:r w:rsidRPr="005F552D">
        <w:rPr>
          <w:rStyle w:val="Referencafusnote"/>
          <w:rFonts w:ascii="Arial" w:hAnsi="Arial" w:cs="Arial"/>
          <w:sz w:val="24"/>
          <w:szCs w:val="24"/>
          <w:lang w:val="x-none"/>
        </w:rPr>
        <w:footnoteReference w:id="170"/>
      </w:r>
    </w:p>
    <w:p w:rsidR="00DE521B" w:rsidRPr="005F552D" w:rsidRDefault="00DE521B" w:rsidP="00DE521B">
      <w:pPr>
        <w:autoSpaceDE w:val="0"/>
        <w:autoSpaceDN w:val="0"/>
        <w:adjustRightInd w:val="0"/>
        <w:spacing w:before="120" w:after="120" w:line="240" w:lineRule="auto"/>
        <w:ind w:firstLine="708"/>
        <w:jc w:val="both"/>
        <w:rPr>
          <w:rFonts w:ascii="Arial" w:hAnsi="Arial" w:cs="Arial"/>
          <w:sz w:val="24"/>
          <w:szCs w:val="24"/>
        </w:rPr>
      </w:pPr>
      <w:r w:rsidRPr="005F552D">
        <w:rPr>
          <w:rFonts w:ascii="Arial" w:hAnsi="Arial" w:cs="Arial"/>
          <w:sz w:val="24"/>
          <w:szCs w:val="24"/>
        </w:rPr>
        <w:t>Nije jasno tko plaća naknadu za prijavu tražbine. Je li to obveza podnositelja prijedloga koji je tražbinu naveo u prijedlogu ili je to obveza vjerovnika koji je prijavio tražbinu iako je ista navedena u prijedlogu ? Čini se da je riječ o vjerovnikovoj obvezi plaćanja naknade za prijavu tražbine uz ispunjenje određenih pretpostavki: da je tražbina navedena u prijedlogu</w:t>
      </w:r>
      <w:r w:rsidRPr="005F552D">
        <w:rPr>
          <w:rFonts w:ascii="Arial" w:hAnsi="Arial" w:cs="Arial"/>
          <w:sz w:val="24"/>
          <w:szCs w:val="24"/>
          <w:lang w:val="x-none"/>
        </w:rPr>
        <w:t xml:space="preserve"> za otvaranje </w:t>
      </w:r>
      <w:proofErr w:type="spellStart"/>
      <w:r w:rsidRPr="005F552D">
        <w:rPr>
          <w:rFonts w:ascii="Arial" w:hAnsi="Arial" w:cs="Arial"/>
          <w:sz w:val="24"/>
          <w:szCs w:val="24"/>
          <w:lang w:val="x-none"/>
        </w:rPr>
        <w:t>predstečajnog</w:t>
      </w:r>
      <w:proofErr w:type="spellEnd"/>
      <w:r w:rsidRPr="005F552D">
        <w:rPr>
          <w:rFonts w:ascii="Arial" w:hAnsi="Arial" w:cs="Arial"/>
          <w:sz w:val="24"/>
          <w:szCs w:val="24"/>
          <w:lang w:val="x-none"/>
        </w:rPr>
        <w:t xml:space="preserve"> postupka</w:t>
      </w:r>
      <w:r w:rsidRPr="005F552D">
        <w:rPr>
          <w:rFonts w:ascii="Arial" w:hAnsi="Arial" w:cs="Arial"/>
          <w:sz w:val="24"/>
          <w:szCs w:val="24"/>
        </w:rPr>
        <w:t xml:space="preserve">; da je istu prijavio i vjerovnik i da je tražbina osporena. Nije jasno zašto vjerovnik plaća naknadu imajući u vidu da je tražbina navedena i u prijedlogu </w:t>
      </w:r>
      <w:r w:rsidRPr="005F552D">
        <w:rPr>
          <w:rFonts w:ascii="Arial" w:hAnsi="Arial" w:cs="Arial"/>
          <w:sz w:val="24"/>
          <w:szCs w:val="24"/>
          <w:lang w:val="x-none"/>
        </w:rPr>
        <w:t xml:space="preserve">za otvaranje </w:t>
      </w:r>
      <w:proofErr w:type="spellStart"/>
      <w:r w:rsidRPr="005F552D">
        <w:rPr>
          <w:rFonts w:ascii="Arial" w:hAnsi="Arial" w:cs="Arial"/>
          <w:sz w:val="24"/>
          <w:szCs w:val="24"/>
          <w:lang w:val="x-none"/>
        </w:rPr>
        <w:t>predstečajnog</w:t>
      </w:r>
      <w:proofErr w:type="spellEnd"/>
      <w:r w:rsidRPr="005F552D">
        <w:rPr>
          <w:rFonts w:ascii="Arial" w:hAnsi="Arial" w:cs="Arial"/>
          <w:sz w:val="24"/>
          <w:szCs w:val="24"/>
          <w:lang w:val="x-none"/>
        </w:rPr>
        <w:t xml:space="preserve"> postupka</w:t>
      </w:r>
      <w:r w:rsidRPr="005F552D">
        <w:rPr>
          <w:rFonts w:ascii="Arial" w:hAnsi="Arial" w:cs="Arial"/>
          <w:sz w:val="24"/>
          <w:szCs w:val="24"/>
        </w:rPr>
        <w:t xml:space="preserve"> pa bi se ista smatra prijavljenom i da ju vjerovnik nije prijavio.</w:t>
      </w:r>
      <w:r w:rsidRPr="005F552D">
        <w:rPr>
          <w:rStyle w:val="Referencafusnote"/>
          <w:rFonts w:ascii="Arial" w:hAnsi="Arial" w:cs="Arial"/>
          <w:sz w:val="24"/>
          <w:szCs w:val="24"/>
        </w:rPr>
        <w:footnoteReference w:id="171"/>
      </w:r>
      <w:r w:rsidRPr="005F552D">
        <w:rPr>
          <w:rFonts w:ascii="Arial" w:hAnsi="Arial" w:cs="Arial"/>
          <w:sz w:val="24"/>
          <w:szCs w:val="24"/>
        </w:rPr>
        <w:t xml:space="preserve"> Čini se </w:t>
      </w:r>
      <w:proofErr w:type="spellStart"/>
      <w:r w:rsidRPr="005F552D">
        <w:rPr>
          <w:rFonts w:ascii="Arial" w:hAnsi="Arial" w:cs="Arial"/>
          <w:sz w:val="24"/>
          <w:szCs w:val="24"/>
        </w:rPr>
        <w:lastRenderedPageBreak/>
        <w:t>ispravnijim</w:t>
      </w:r>
      <w:proofErr w:type="spellEnd"/>
      <w:r w:rsidRPr="005F552D">
        <w:rPr>
          <w:rFonts w:ascii="Arial" w:hAnsi="Arial" w:cs="Arial"/>
          <w:sz w:val="24"/>
          <w:szCs w:val="24"/>
        </w:rPr>
        <w:t xml:space="preserve"> da vjerovnik plaća naknadu ako je prijavio tražbinu koja nije navedena u prijedlogu, a bude osporena.</w:t>
      </w:r>
    </w:p>
    <w:p w:rsidR="00DE521B" w:rsidRPr="005F552D" w:rsidRDefault="00DE521B" w:rsidP="00DE521B">
      <w:pPr>
        <w:autoSpaceDE w:val="0"/>
        <w:autoSpaceDN w:val="0"/>
        <w:adjustRightInd w:val="0"/>
        <w:spacing w:before="120" w:after="120" w:line="240" w:lineRule="auto"/>
        <w:ind w:firstLine="708"/>
        <w:jc w:val="both"/>
        <w:rPr>
          <w:rFonts w:ascii="Arial" w:hAnsi="Arial" w:cs="Arial"/>
          <w:sz w:val="24"/>
          <w:szCs w:val="24"/>
        </w:rPr>
      </w:pPr>
      <w:r w:rsidRPr="005F552D">
        <w:rPr>
          <w:rFonts w:ascii="Arial" w:hAnsi="Arial" w:cs="Arial"/>
          <w:sz w:val="24"/>
          <w:szCs w:val="24"/>
        </w:rPr>
        <w:t>Nije isključena mogućnost da tražbinu navede dužnik u prijedlogu ali ju ne prijavi vjerovnik pa se tražbina smatra prijavljenom. Ako takvu tražbinu ospori ovlaštena osoba je li podnositelj prijedloga dužan platiti naknadu ?</w:t>
      </w:r>
    </w:p>
    <w:p w:rsidR="00DE521B" w:rsidRPr="005F552D" w:rsidRDefault="00DE521B" w:rsidP="00DE521B">
      <w:pPr>
        <w:autoSpaceDE w:val="0"/>
        <w:autoSpaceDN w:val="0"/>
        <w:adjustRightInd w:val="0"/>
        <w:spacing w:before="120" w:after="120" w:line="240" w:lineRule="auto"/>
        <w:jc w:val="both"/>
        <w:rPr>
          <w:rFonts w:ascii="Arial" w:hAnsi="Arial" w:cs="Arial"/>
          <w:sz w:val="24"/>
          <w:szCs w:val="24"/>
        </w:rPr>
      </w:pPr>
      <w:r w:rsidRPr="005F552D">
        <w:rPr>
          <w:rFonts w:ascii="Arial" w:hAnsi="Arial" w:cs="Arial"/>
          <w:sz w:val="24"/>
          <w:szCs w:val="24"/>
        </w:rPr>
        <w:tab/>
        <w:t xml:space="preserve">Pojam </w:t>
      </w:r>
      <w:r w:rsidRPr="005F552D">
        <w:rPr>
          <w:rFonts w:ascii="Arial" w:hAnsi="Arial" w:cs="Arial"/>
          <w:b/>
          <w:sz w:val="24"/>
          <w:szCs w:val="24"/>
          <w:u w:val="single"/>
        </w:rPr>
        <w:t>„</w:t>
      </w:r>
      <w:r w:rsidRPr="00092651">
        <w:rPr>
          <w:rFonts w:ascii="Arial" w:hAnsi="Arial" w:cs="Arial"/>
          <w:b/>
          <w:i/>
          <w:sz w:val="24"/>
          <w:szCs w:val="24"/>
        </w:rPr>
        <w:t>i tražbina bude osporena</w:t>
      </w:r>
      <w:r w:rsidRPr="00092651">
        <w:rPr>
          <w:rFonts w:ascii="Arial" w:hAnsi="Arial" w:cs="Arial"/>
          <w:b/>
          <w:sz w:val="24"/>
          <w:szCs w:val="24"/>
        </w:rPr>
        <w:t>“</w:t>
      </w:r>
      <w:r w:rsidRPr="005F552D">
        <w:rPr>
          <w:rFonts w:ascii="Arial" w:hAnsi="Arial" w:cs="Arial"/>
          <w:sz w:val="24"/>
          <w:szCs w:val="24"/>
        </w:rPr>
        <w:t xml:space="preserve"> također stvara dvojbu u kojem trenutku nastaje obveza plaćanja naknade za prijavu osporene tražbine. Je li to u trenutku osporavanja tražbine od strane ovlaštene osobe ili obveza plaćanja naknade za prijavu osporene tražbine nastaje nakon ročišta za ispitivanje tražbina na kojemu osporavanje nije otklonjeno ili nastaje pravomoćnim okončanjem parnice u koju je upućen vjerovnik osporene tražbine za slučaj da njegov tužbeni zahtjev bude odbijen. Nadalje, što ako je tražbina osporena, a osporavanje bude otklonjeno na ispitnom ročištu (npr. odustajanjem osporavatelja od osporavanja) ili vjerovnik osporene tražbine uspije u parnici radi utvrđenja osporene tražbine. Može li osoba koja je platila naknadu tražiti od FINA-e vraćanje naknade jer osporavanje nije bilo osnovano.</w:t>
      </w:r>
    </w:p>
    <w:p w:rsidR="00DE521B" w:rsidRPr="005F552D" w:rsidRDefault="00DE521B" w:rsidP="00DE521B">
      <w:pPr>
        <w:autoSpaceDE w:val="0"/>
        <w:autoSpaceDN w:val="0"/>
        <w:adjustRightInd w:val="0"/>
        <w:spacing w:before="120" w:after="120" w:line="240" w:lineRule="auto"/>
        <w:ind w:firstLine="708"/>
        <w:jc w:val="both"/>
        <w:rPr>
          <w:rFonts w:ascii="Arial" w:hAnsi="Arial" w:cs="Arial"/>
          <w:sz w:val="24"/>
          <w:szCs w:val="24"/>
        </w:rPr>
      </w:pPr>
      <w:r w:rsidRPr="005F552D">
        <w:rPr>
          <w:rFonts w:ascii="Arial" w:hAnsi="Arial" w:cs="Arial"/>
          <w:sz w:val="24"/>
          <w:szCs w:val="24"/>
        </w:rPr>
        <w:t xml:space="preserve">Naknada za osporenu tražbinu je naknada za uslugu FINA-i koja mora sačiniti tablicu osporenih tražbina i objaviti je na mrežnoj </w:t>
      </w:r>
      <w:r w:rsidRPr="005F552D">
        <w:rPr>
          <w:rFonts w:ascii="Arial" w:hAnsi="Arial" w:cs="Arial"/>
          <w:sz w:val="24"/>
          <w:szCs w:val="24"/>
          <w:lang w:val="x-none"/>
        </w:rPr>
        <w:t>stranici e-Oglasna ploča sudova</w:t>
      </w:r>
      <w:r w:rsidRPr="005F552D">
        <w:rPr>
          <w:rFonts w:ascii="Arial" w:hAnsi="Arial" w:cs="Arial"/>
          <w:sz w:val="24"/>
          <w:szCs w:val="24"/>
        </w:rPr>
        <w:t xml:space="preserve"> pa je podnositelj prijave tražbine dužan platiti naknadu za tražbinu koju je prijavio uz ispunjenje određenih pretpostavki.</w:t>
      </w:r>
    </w:p>
    <w:p w:rsidR="00DE521B" w:rsidRPr="005F552D" w:rsidRDefault="00DE521B" w:rsidP="00DE521B">
      <w:pPr>
        <w:autoSpaceDE w:val="0"/>
        <w:autoSpaceDN w:val="0"/>
        <w:adjustRightInd w:val="0"/>
        <w:spacing w:before="120" w:after="120" w:line="240" w:lineRule="auto"/>
        <w:jc w:val="both"/>
        <w:rPr>
          <w:rFonts w:ascii="Arial" w:hAnsi="Arial" w:cs="Arial"/>
          <w:sz w:val="24"/>
          <w:szCs w:val="24"/>
        </w:rPr>
      </w:pPr>
      <w:r w:rsidRPr="005F552D">
        <w:rPr>
          <w:rFonts w:ascii="Arial" w:hAnsi="Arial" w:cs="Arial"/>
          <w:sz w:val="24"/>
          <w:szCs w:val="24"/>
        </w:rPr>
        <w:tab/>
      </w:r>
      <w:r w:rsidRPr="005F552D">
        <w:rPr>
          <w:rFonts w:ascii="Arial" w:hAnsi="Arial" w:cs="Arial"/>
          <w:sz w:val="24"/>
          <w:szCs w:val="24"/>
          <w:lang w:val="x-none"/>
        </w:rPr>
        <w:t xml:space="preserve">Ako pojedina prijavljena tražbina nije navedena u prijedlogu za otvaranje </w:t>
      </w:r>
      <w:proofErr w:type="spellStart"/>
      <w:r w:rsidRPr="005F552D">
        <w:rPr>
          <w:rFonts w:ascii="Arial" w:hAnsi="Arial" w:cs="Arial"/>
          <w:sz w:val="24"/>
          <w:szCs w:val="24"/>
          <w:lang w:val="x-none"/>
        </w:rPr>
        <w:t>predstečajnog</w:t>
      </w:r>
      <w:proofErr w:type="spellEnd"/>
      <w:r w:rsidRPr="005F552D">
        <w:rPr>
          <w:rFonts w:ascii="Arial" w:hAnsi="Arial" w:cs="Arial"/>
          <w:sz w:val="24"/>
          <w:szCs w:val="24"/>
          <w:lang w:val="x-none"/>
        </w:rPr>
        <w:t xml:space="preserve"> postupka</w:t>
      </w:r>
      <w:r w:rsidRPr="005F552D">
        <w:rPr>
          <w:rFonts w:ascii="Arial" w:hAnsi="Arial" w:cs="Arial"/>
          <w:sz w:val="24"/>
          <w:szCs w:val="24"/>
        </w:rPr>
        <w:t>,</w:t>
      </w:r>
      <w:r w:rsidRPr="005F552D">
        <w:rPr>
          <w:rFonts w:ascii="Arial" w:hAnsi="Arial" w:cs="Arial"/>
          <w:sz w:val="24"/>
          <w:szCs w:val="24"/>
          <w:lang w:val="x-none"/>
        </w:rPr>
        <w:t xml:space="preserve"> </w:t>
      </w:r>
      <w:r w:rsidRPr="005F552D">
        <w:rPr>
          <w:rFonts w:ascii="Arial" w:hAnsi="Arial" w:cs="Arial"/>
          <w:sz w:val="24"/>
          <w:szCs w:val="24"/>
        </w:rPr>
        <w:t xml:space="preserve">ali ju prijavi vjerovnik u roku za prijavu tražbina i tražbina ne bude </w:t>
      </w:r>
      <w:r w:rsidRPr="005F552D">
        <w:rPr>
          <w:rFonts w:ascii="Arial" w:hAnsi="Arial" w:cs="Arial"/>
          <w:sz w:val="24"/>
          <w:szCs w:val="24"/>
          <w:lang w:val="x-none"/>
        </w:rPr>
        <w:t xml:space="preserve">osporena, naknadu </w:t>
      </w:r>
      <w:r w:rsidRPr="005F552D">
        <w:rPr>
          <w:rFonts w:ascii="Arial" w:hAnsi="Arial" w:cs="Arial"/>
          <w:sz w:val="24"/>
          <w:szCs w:val="24"/>
        </w:rPr>
        <w:t xml:space="preserve">je </w:t>
      </w:r>
      <w:r w:rsidRPr="005F552D">
        <w:rPr>
          <w:rFonts w:ascii="Arial" w:hAnsi="Arial" w:cs="Arial"/>
          <w:sz w:val="24"/>
          <w:szCs w:val="24"/>
          <w:lang w:val="x-none"/>
        </w:rPr>
        <w:t>dužan platiti dužnik u iznosu od 2% od iznosa tražbine, ali ne više od 200,00 k</w:t>
      </w:r>
      <w:r w:rsidRPr="005F552D">
        <w:rPr>
          <w:rFonts w:ascii="Arial" w:hAnsi="Arial" w:cs="Arial"/>
          <w:sz w:val="24"/>
          <w:szCs w:val="24"/>
        </w:rPr>
        <w:t>una</w:t>
      </w:r>
      <w:r w:rsidRPr="005F552D">
        <w:rPr>
          <w:rFonts w:ascii="Arial" w:hAnsi="Arial" w:cs="Arial"/>
          <w:sz w:val="24"/>
          <w:szCs w:val="24"/>
          <w:lang w:val="x-none"/>
        </w:rPr>
        <w:t>.</w:t>
      </w:r>
      <w:r w:rsidRPr="005F552D">
        <w:rPr>
          <w:rStyle w:val="Referencafusnote"/>
          <w:rFonts w:ascii="Arial" w:hAnsi="Arial" w:cs="Arial"/>
          <w:sz w:val="24"/>
          <w:szCs w:val="24"/>
          <w:lang w:val="x-none"/>
        </w:rPr>
        <w:footnoteReference w:id="172"/>
      </w:r>
      <w:r w:rsidRPr="005F552D">
        <w:rPr>
          <w:rFonts w:ascii="Arial" w:hAnsi="Arial" w:cs="Arial"/>
          <w:sz w:val="24"/>
          <w:szCs w:val="24"/>
        </w:rPr>
        <w:t xml:space="preserve"> </w:t>
      </w:r>
    </w:p>
    <w:p w:rsidR="00DE521B" w:rsidRPr="00092651" w:rsidRDefault="00DE521B" w:rsidP="00DE521B">
      <w:pPr>
        <w:autoSpaceDE w:val="0"/>
        <w:autoSpaceDN w:val="0"/>
        <w:adjustRightInd w:val="0"/>
        <w:spacing w:before="120" w:after="120" w:line="240" w:lineRule="auto"/>
        <w:jc w:val="both"/>
        <w:rPr>
          <w:rFonts w:ascii="Arial" w:hAnsi="Arial" w:cs="Arial"/>
          <w:sz w:val="24"/>
          <w:szCs w:val="24"/>
        </w:rPr>
      </w:pPr>
      <w:r w:rsidRPr="005F552D">
        <w:rPr>
          <w:rFonts w:ascii="Arial" w:hAnsi="Arial" w:cs="Arial"/>
          <w:sz w:val="24"/>
          <w:szCs w:val="24"/>
        </w:rPr>
        <w:tab/>
        <w:t xml:space="preserve">Ako je vjerovnik prijavio tražbinu koja nije navedena u prijedlogu </w:t>
      </w:r>
      <w:r w:rsidRPr="005F552D">
        <w:rPr>
          <w:rFonts w:ascii="Arial" w:hAnsi="Arial" w:cs="Arial"/>
          <w:sz w:val="24"/>
          <w:szCs w:val="24"/>
          <w:lang w:val="x-none"/>
        </w:rPr>
        <w:t xml:space="preserve">za otvaranje </w:t>
      </w:r>
      <w:proofErr w:type="spellStart"/>
      <w:r w:rsidRPr="005F552D">
        <w:rPr>
          <w:rFonts w:ascii="Arial" w:hAnsi="Arial" w:cs="Arial"/>
          <w:sz w:val="24"/>
          <w:szCs w:val="24"/>
          <w:lang w:val="x-none"/>
        </w:rPr>
        <w:t>predstečajnog</w:t>
      </w:r>
      <w:proofErr w:type="spellEnd"/>
      <w:r w:rsidRPr="005F552D">
        <w:rPr>
          <w:rFonts w:ascii="Arial" w:hAnsi="Arial" w:cs="Arial"/>
          <w:sz w:val="24"/>
          <w:szCs w:val="24"/>
          <w:lang w:val="x-none"/>
        </w:rPr>
        <w:t xml:space="preserve"> postupka </w:t>
      </w:r>
      <w:r w:rsidRPr="005F552D">
        <w:rPr>
          <w:rFonts w:ascii="Arial" w:hAnsi="Arial" w:cs="Arial"/>
          <w:sz w:val="24"/>
          <w:szCs w:val="24"/>
        </w:rPr>
        <w:t xml:space="preserve">i tražbina bude </w:t>
      </w:r>
      <w:r w:rsidRPr="005F552D">
        <w:rPr>
          <w:rFonts w:ascii="Arial" w:hAnsi="Arial" w:cs="Arial"/>
          <w:sz w:val="24"/>
          <w:szCs w:val="24"/>
          <w:lang w:val="x-none"/>
        </w:rPr>
        <w:t>osporena</w:t>
      </w:r>
      <w:r w:rsidRPr="005F552D">
        <w:rPr>
          <w:rFonts w:ascii="Arial" w:hAnsi="Arial" w:cs="Arial"/>
          <w:sz w:val="24"/>
          <w:szCs w:val="24"/>
        </w:rPr>
        <w:t xml:space="preserve">, čini se da naknadu ne plaćaju ni vjerovnik ni dužnik. Očekivati je da dužnik ima interes da ospori tražbinu koju nije naveo u prijedlogu kako bi izbjegao plaćanje naknade. Međutim, što ako na ročištu radi ispitivanja tražbine dužnik prizna osporenu tražbinu ? Je li u tom slučaju dužnik u obvezi platiti naknadu za prijavu tražbine ili je samo bitno da je tražbinu osporio u roku za osporavanje. Odgovor na ovo pitanje mora dati sudska praksa kroz tumačenje pojma </w:t>
      </w:r>
      <w:r w:rsidRPr="00092651">
        <w:rPr>
          <w:rFonts w:ascii="Arial" w:hAnsi="Arial" w:cs="Arial"/>
          <w:b/>
          <w:sz w:val="24"/>
          <w:szCs w:val="24"/>
        </w:rPr>
        <w:t>„</w:t>
      </w:r>
      <w:r w:rsidRPr="00092651">
        <w:rPr>
          <w:rFonts w:ascii="Arial" w:hAnsi="Arial" w:cs="Arial"/>
          <w:b/>
          <w:i/>
          <w:sz w:val="24"/>
          <w:szCs w:val="24"/>
        </w:rPr>
        <w:t>i tražbina bude osporena</w:t>
      </w:r>
      <w:r w:rsidRPr="00092651">
        <w:rPr>
          <w:rFonts w:ascii="Arial" w:hAnsi="Arial" w:cs="Arial"/>
          <w:b/>
          <w:sz w:val="24"/>
          <w:szCs w:val="24"/>
        </w:rPr>
        <w:t xml:space="preserve">“. </w:t>
      </w:r>
    </w:p>
    <w:p w:rsidR="002E39E0" w:rsidRDefault="00DE521B" w:rsidP="00DE521B">
      <w:pPr>
        <w:autoSpaceDE w:val="0"/>
        <w:autoSpaceDN w:val="0"/>
        <w:adjustRightInd w:val="0"/>
        <w:spacing w:before="120" w:after="120" w:line="240" w:lineRule="auto"/>
        <w:jc w:val="both"/>
        <w:rPr>
          <w:rFonts w:ascii="Arial" w:hAnsi="Arial" w:cs="Arial"/>
          <w:sz w:val="24"/>
          <w:szCs w:val="24"/>
        </w:rPr>
      </w:pPr>
      <w:r w:rsidRPr="005F552D">
        <w:rPr>
          <w:rFonts w:ascii="Arial" w:hAnsi="Arial" w:cs="Arial"/>
          <w:sz w:val="24"/>
          <w:szCs w:val="24"/>
        </w:rPr>
        <w:tab/>
      </w:r>
      <w:r w:rsidRPr="005F552D">
        <w:rPr>
          <w:rFonts w:ascii="Arial" w:hAnsi="Arial" w:cs="Arial"/>
          <w:sz w:val="24"/>
          <w:szCs w:val="24"/>
          <w:lang w:val="x-none"/>
        </w:rPr>
        <w:t>Od plaćanja naknade za prijavu tražbine oslobođeni su Republika Hrvatska i tijela državne vlasti.</w:t>
      </w:r>
      <w:r w:rsidRPr="005F552D">
        <w:rPr>
          <w:rStyle w:val="Referencafusnote"/>
          <w:rFonts w:ascii="Arial" w:hAnsi="Arial" w:cs="Arial"/>
          <w:sz w:val="24"/>
          <w:szCs w:val="24"/>
          <w:lang w:val="x-none"/>
        </w:rPr>
        <w:footnoteReference w:id="173"/>
      </w:r>
    </w:p>
    <w:p w:rsidR="00281FC4" w:rsidRPr="002E39E0" w:rsidRDefault="00281FC4" w:rsidP="00DE521B">
      <w:pPr>
        <w:autoSpaceDE w:val="0"/>
        <w:autoSpaceDN w:val="0"/>
        <w:adjustRightInd w:val="0"/>
        <w:spacing w:before="120" w:after="120" w:line="240" w:lineRule="auto"/>
        <w:jc w:val="both"/>
        <w:rPr>
          <w:rFonts w:ascii="Arial" w:hAnsi="Arial" w:cs="Arial"/>
          <w:sz w:val="24"/>
          <w:szCs w:val="24"/>
        </w:rPr>
      </w:pPr>
    </w:p>
    <w:p w:rsidR="00DE521B" w:rsidRPr="00281FC4" w:rsidRDefault="00281FC4" w:rsidP="00281FC4">
      <w:pPr>
        <w:pStyle w:val="Naslov3"/>
      </w:pPr>
      <w:bookmarkStart w:id="29" w:name="_Toc507067627"/>
      <w:r>
        <w:t xml:space="preserve">2.3.6. </w:t>
      </w:r>
      <w:r w:rsidR="00DE521B" w:rsidRPr="00281FC4">
        <w:t>Očitovanje o prijav</w:t>
      </w:r>
      <w:r w:rsidR="00B85C76" w:rsidRPr="00281FC4">
        <w:t>l</w:t>
      </w:r>
      <w:r w:rsidR="00DE521B" w:rsidRPr="00281FC4">
        <w:t>jenim tražbinama</w:t>
      </w:r>
      <w:bookmarkEnd w:id="29"/>
    </w:p>
    <w:p w:rsidR="00DE521B" w:rsidRPr="005F552D" w:rsidRDefault="00DE521B" w:rsidP="00DE521B">
      <w:pPr>
        <w:pStyle w:val="Odlomakpopisa"/>
        <w:autoSpaceDE w:val="0"/>
        <w:autoSpaceDN w:val="0"/>
        <w:adjustRightInd w:val="0"/>
        <w:spacing w:before="150" w:after="150" w:line="240" w:lineRule="auto"/>
        <w:ind w:left="1428"/>
        <w:jc w:val="both"/>
        <w:rPr>
          <w:rFonts w:ascii="Arial" w:hAnsi="Arial" w:cs="Arial"/>
          <w:b/>
          <w:sz w:val="24"/>
          <w:szCs w:val="24"/>
        </w:rPr>
      </w:pPr>
    </w:p>
    <w:p w:rsidR="00B85C76" w:rsidRDefault="00DE521B" w:rsidP="002E39E0">
      <w:pPr>
        <w:pStyle w:val="Bezproreda"/>
        <w:ind w:firstLine="708"/>
        <w:jc w:val="both"/>
        <w:rPr>
          <w:b/>
        </w:rPr>
      </w:pPr>
      <w:r w:rsidRPr="005F552D">
        <w:t>Dužnik i povjerenik ako je imenovan dužni su očitovati se o prijavljenim tražbinama vjerovnika.</w:t>
      </w:r>
      <w:r w:rsidR="00B85C76" w:rsidRPr="005F552D">
        <w:rPr>
          <w:rStyle w:val="Referencafusnote"/>
          <w:rFonts w:cs="Arial"/>
          <w:szCs w:val="24"/>
        </w:rPr>
        <w:footnoteReference w:id="174"/>
      </w:r>
      <w:r w:rsidRPr="005F552D">
        <w:rPr>
          <w:b/>
        </w:rPr>
        <w:t xml:space="preserve"> </w:t>
      </w:r>
    </w:p>
    <w:p w:rsidR="002E39E0" w:rsidRPr="005F552D" w:rsidRDefault="002E39E0" w:rsidP="002E39E0">
      <w:pPr>
        <w:pStyle w:val="Bezproreda"/>
        <w:ind w:firstLine="708"/>
        <w:jc w:val="both"/>
        <w:rPr>
          <w:b/>
        </w:rPr>
      </w:pPr>
    </w:p>
    <w:p w:rsidR="00B85C76" w:rsidRPr="005F552D" w:rsidRDefault="00B85C76" w:rsidP="002E39E0">
      <w:pPr>
        <w:pStyle w:val="Bezproreda"/>
        <w:ind w:firstLine="708"/>
        <w:jc w:val="both"/>
        <w:rPr>
          <w:b/>
        </w:rPr>
      </w:pPr>
      <w:r w:rsidRPr="005F552D">
        <w:t>Nakon isteka roka za očitovanje o prijavljenim tražbinama dužnik i povjerenik ako je imenovan ne mogu više osporavati tražbine koje su priznali.</w:t>
      </w:r>
      <w:r w:rsidRPr="005F552D">
        <w:rPr>
          <w:rStyle w:val="Referencafusnote"/>
          <w:rFonts w:cs="Arial"/>
          <w:szCs w:val="24"/>
        </w:rPr>
        <w:footnoteReference w:id="175"/>
      </w:r>
    </w:p>
    <w:p w:rsidR="002E39E0" w:rsidRDefault="002E39E0" w:rsidP="002E39E0">
      <w:pPr>
        <w:pStyle w:val="Bezproreda"/>
        <w:jc w:val="both"/>
      </w:pPr>
    </w:p>
    <w:p w:rsidR="00DE521B" w:rsidRPr="005F552D" w:rsidRDefault="00B85C76" w:rsidP="002E39E0">
      <w:pPr>
        <w:pStyle w:val="Bezproreda"/>
        <w:ind w:firstLine="708"/>
        <w:jc w:val="both"/>
      </w:pPr>
      <w:r w:rsidRPr="005F552D">
        <w:t>Očitovanje se podnosi nadležnoj jedinici FINA-e na propisanom obrascu i za svaku tražbinu sadržava</w:t>
      </w:r>
      <w:r w:rsidRPr="005F552D">
        <w:rPr>
          <w:rStyle w:val="Referencafusnote"/>
          <w:rFonts w:cs="Arial"/>
          <w:szCs w:val="24"/>
        </w:rPr>
        <w:footnoteReference w:id="176"/>
      </w:r>
      <w:r w:rsidRPr="005F552D">
        <w:t>:</w:t>
      </w:r>
    </w:p>
    <w:p w:rsidR="00B85C76" w:rsidRPr="005F552D" w:rsidRDefault="00B85C76" w:rsidP="002E39E0">
      <w:pPr>
        <w:pStyle w:val="Bezproreda"/>
        <w:jc w:val="both"/>
      </w:pPr>
      <w:r w:rsidRPr="005F552D">
        <w:t>1. broj tražbine iz tablice prijavljenih tražbina</w:t>
      </w:r>
      <w:r w:rsidR="002E39E0">
        <w:t>,</w:t>
      </w:r>
    </w:p>
    <w:p w:rsidR="00B85C76" w:rsidRPr="005F552D" w:rsidRDefault="00B85C76" w:rsidP="002E39E0">
      <w:pPr>
        <w:pStyle w:val="Bezproreda"/>
        <w:jc w:val="both"/>
      </w:pPr>
      <w:r w:rsidRPr="005F552D">
        <w:t>2. podatke za identifikaciju vjerovnika</w:t>
      </w:r>
      <w:r w:rsidR="002E39E0">
        <w:t>,</w:t>
      </w:r>
    </w:p>
    <w:p w:rsidR="00B85C76" w:rsidRPr="005F552D" w:rsidRDefault="00B85C76" w:rsidP="002E39E0">
      <w:pPr>
        <w:pStyle w:val="Bezproreda"/>
        <w:jc w:val="both"/>
      </w:pPr>
      <w:r w:rsidRPr="005F552D">
        <w:lastRenderedPageBreak/>
        <w:t>3. iznos prijavljene tražbine</w:t>
      </w:r>
      <w:r w:rsidR="002E39E0">
        <w:t>,</w:t>
      </w:r>
    </w:p>
    <w:p w:rsidR="00B85C76" w:rsidRPr="005F552D" w:rsidRDefault="00B85C76" w:rsidP="002E39E0">
      <w:pPr>
        <w:pStyle w:val="Bezproreda"/>
        <w:jc w:val="both"/>
      </w:pPr>
      <w:r w:rsidRPr="005F552D">
        <w:t>4. izjavu dužnika i povjerenika ako je imenovan priznaje li ili osporava tražbinu</w:t>
      </w:r>
      <w:r w:rsidR="002E39E0">
        <w:t>,</w:t>
      </w:r>
    </w:p>
    <w:p w:rsidR="00B85C76" w:rsidRPr="005F552D" w:rsidRDefault="00B85C76" w:rsidP="002E39E0">
      <w:pPr>
        <w:pStyle w:val="Bezproreda"/>
        <w:jc w:val="both"/>
      </w:pPr>
      <w:r w:rsidRPr="005F552D">
        <w:t>5. osporavani iznos tražbine</w:t>
      </w:r>
      <w:r w:rsidR="002E39E0">
        <w:t>,</w:t>
      </w:r>
      <w:r w:rsidR="002E39E0">
        <w:tab/>
      </w:r>
      <w:r w:rsidR="002E39E0">
        <w:tab/>
      </w:r>
    </w:p>
    <w:p w:rsidR="00B85C76" w:rsidRPr="005F552D" w:rsidRDefault="00B85C76" w:rsidP="002E39E0">
      <w:pPr>
        <w:pStyle w:val="Bezproreda"/>
        <w:jc w:val="both"/>
      </w:pPr>
      <w:r w:rsidRPr="005F552D">
        <w:t>6. činjenice iz kojih proizlazi nepostojanje osporene tražbine ili dijela tražbine.</w:t>
      </w:r>
    </w:p>
    <w:p w:rsidR="00DE521B" w:rsidRPr="005F552D" w:rsidRDefault="00DE521B" w:rsidP="002E39E0">
      <w:pPr>
        <w:pStyle w:val="Bezproreda"/>
        <w:jc w:val="both"/>
        <w:rPr>
          <w:b/>
        </w:rPr>
      </w:pPr>
    </w:p>
    <w:p w:rsidR="00DE521B" w:rsidRPr="005F552D" w:rsidRDefault="00281FC4" w:rsidP="00281FC4">
      <w:pPr>
        <w:pStyle w:val="Naslov3"/>
      </w:pPr>
      <w:bookmarkStart w:id="30" w:name="_Toc507067628"/>
      <w:r>
        <w:t xml:space="preserve">2.3.7. </w:t>
      </w:r>
      <w:r w:rsidR="00B85C76" w:rsidRPr="005F552D">
        <w:t>Osporavanje tražbine</w:t>
      </w:r>
      <w:bookmarkEnd w:id="30"/>
      <w:r w:rsidR="00B85C76" w:rsidRPr="005F552D">
        <w:t xml:space="preserve"> </w:t>
      </w:r>
    </w:p>
    <w:p w:rsidR="00B85C76" w:rsidRPr="005F552D" w:rsidRDefault="00B85C76" w:rsidP="002E39E0">
      <w:pPr>
        <w:pStyle w:val="Bezproreda"/>
        <w:jc w:val="both"/>
        <w:rPr>
          <w:b/>
        </w:rPr>
      </w:pPr>
    </w:p>
    <w:p w:rsidR="001E7DE3" w:rsidRPr="005F552D" w:rsidRDefault="001E7DE3" w:rsidP="002E39E0">
      <w:pPr>
        <w:pStyle w:val="Bezproreda"/>
        <w:ind w:firstLine="708"/>
        <w:jc w:val="both"/>
      </w:pPr>
      <w:r w:rsidRPr="005F552D">
        <w:t>Vjerovnik može osporiti prijavljenu tražbinu drugog vjerovnika.</w:t>
      </w:r>
      <w:r w:rsidRPr="005F552D">
        <w:rPr>
          <w:rStyle w:val="Referencafusnote"/>
          <w:rFonts w:cs="Arial"/>
          <w:szCs w:val="24"/>
        </w:rPr>
        <w:footnoteReference w:id="177"/>
      </w:r>
    </w:p>
    <w:p w:rsidR="001E7DE3" w:rsidRPr="005F552D" w:rsidRDefault="001E7DE3" w:rsidP="002E39E0">
      <w:pPr>
        <w:pStyle w:val="Bezproreda"/>
        <w:jc w:val="both"/>
      </w:pPr>
    </w:p>
    <w:p w:rsidR="001E7DE3" w:rsidRPr="005F552D" w:rsidRDefault="001E7DE3" w:rsidP="002E39E0">
      <w:pPr>
        <w:pStyle w:val="Bezproreda"/>
        <w:ind w:firstLine="708"/>
        <w:jc w:val="both"/>
        <w:rPr>
          <w:b/>
        </w:rPr>
      </w:pPr>
      <w:r w:rsidRPr="005F552D">
        <w:t>Osporavanje se podnosi nadležnoj jedinici FINA-e na propisanom obrascu i sadržava</w:t>
      </w:r>
      <w:r w:rsidR="00011A25">
        <w:rPr>
          <w:rStyle w:val="Referencafusnote"/>
        </w:rPr>
        <w:footnoteReference w:id="178"/>
      </w:r>
      <w:r w:rsidR="005F552D" w:rsidRPr="005F552D">
        <w:t>:</w:t>
      </w:r>
    </w:p>
    <w:p w:rsidR="00B85C76" w:rsidRPr="005F552D" w:rsidRDefault="00B85C76" w:rsidP="002E39E0">
      <w:pPr>
        <w:pStyle w:val="Bezproreda"/>
        <w:jc w:val="both"/>
      </w:pPr>
      <w:r w:rsidRPr="005F552D">
        <w:t>1. podatke za identifikaciju vjerovnika koji osporava tražbinu</w:t>
      </w:r>
      <w:r w:rsidR="002E39E0">
        <w:t>,</w:t>
      </w:r>
    </w:p>
    <w:p w:rsidR="00B85C76" w:rsidRPr="005F552D" w:rsidRDefault="00B85C76" w:rsidP="002E39E0">
      <w:pPr>
        <w:pStyle w:val="Bezproreda"/>
        <w:jc w:val="both"/>
      </w:pPr>
      <w:r w:rsidRPr="005F552D">
        <w:t>2. broj osporene tražbine iz tablice prijavljenih tražbina</w:t>
      </w:r>
      <w:r w:rsidR="002E39E0">
        <w:t>,</w:t>
      </w:r>
    </w:p>
    <w:p w:rsidR="00B85C76" w:rsidRPr="005F552D" w:rsidRDefault="00B85C76" w:rsidP="002E39E0">
      <w:pPr>
        <w:pStyle w:val="Bezproreda"/>
        <w:jc w:val="both"/>
      </w:pPr>
      <w:r w:rsidRPr="005F552D">
        <w:t>3. podatke za identifikaciju vjerovnika koji je prijavio tražbinu koja se osporava</w:t>
      </w:r>
      <w:r w:rsidR="002E39E0">
        <w:t>,</w:t>
      </w:r>
    </w:p>
    <w:p w:rsidR="00B85C76" w:rsidRPr="005F552D" w:rsidRDefault="00B85C76" w:rsidP="002E39E0">
      <w:pPr>
        <w:pStyle w:val="Bezproreda"/>
        <w:jc w:val="both"/>
      </w:pPr>
      <w:r w:rsidRPr="005F552D">
        <w:t>4. iznos prijavljene tražbine koja se osporava</w:t>
      </w:r>
      <w:r w:rsidR="002E39E0">
        <w:t>,</w:t>
      </w:r>
    </w:p>
    <w:p w:rsidR="00B85C76" w:rsidRPr="005F552D" w:rsidRDefault="00B85C76" w:rsidP="002E39E0">
      <w:pPr>
        <w:pStyle w:val="Bezproreda"/>
        <w:jc w:val="both"/>
      </w:pPr>
      <w:r w:rsidRPr="005F552D">
        <w:t>5. izjavu vjerovnika da osporava tražbinu</w:t>
      </w:r>
      <w:r w:rsidR="002E39E0">
        <w:t>,</w:t>
      </w:r>
    </w:p>
    <w:p w:rsidR="00B85C76" w:rsidRPr="005F552D" w:rsidRDefault="00B85C76" w:rsidP="002E39E0">
      <w:pPr>
        <w:pStyle w:val="Bezproreda"/>
        <w:jc w:val="both"/>
      </w:pPr>
      <w:r w:rsidRPr="005F552D">
        <w:t>6. osporavani iznos tražbine</w:t>
      </w:r>
      <w:r w:rsidR="002E39E0">
        <w:t>,</w:t>
      </w:r>
    </w:p>
    <w:p w:rsidR="00B85C76" w:rsidRPr="005F552D" w:rsidRDefault="00B85C76" w:rsidP="002E39E0">
      <w:pPr>
        <w:pStyle w:val="Bezproreda"/>
        <w:jc w:val="both"/>
      </w:pPr>
      <w:r w:rsidRPr="005F552D">
        <w:t>7. činjenice iz kojih proizlazi nepostojanje osporene tražbine ili dijela tražbine.</w:t>
      </w:r>
    </w:p>
    <w:p w:rsidR="00B85C76" w:rsidRDefault="00B85C76" w:rsidP="002E39E0">
      <w:pPr>
        <w:pStyle w:val="Bezproreda"/>
        <w:jc w:val="both"/>
        <w:rPr>
          <w:b/>
        </w:rPr>
      </w:pPr>
    </w:p>
    <w:p w:rsidR="005F552D" w:rsidRDefault="005F552D" w:rsidP="002E39E0">
      <w:pPr>
        <w:pStyle w:val="Bezproreda"/>
        <w:jc w:val="both"/>
        <w:rPr>
          <w:b/>
        </w:rPr>
      </w:pPr>
    </w:p>
    <w:p w:rsidR="005F552D" w:rsidRDefault="00281FC4" w:rsidP="00281FC4">
      <w:pPr>
        <w:pStyle w:val="Naslov3"/>
      </w:pPr>
      <w:bookmarkStart w:id="31" w:name="_Toc507067629"/>
      <w:r>
        <w:t xml:space="preserve">2.3.8. </w:t>
      </w:r>
      <w:r w:rsidR="000909B6">
        <w:t>Tablica</w:t>
      </w:r>
      <w:r w:rsidR="005F552D" w:rsidRPr="005F552D">
        <w:t xml:space="preserve"> prijavljenih tražbina i tablica osporenih tražbina</w:t>
      </w:r>
      <w:bookmarkEnd w:id="31"/>
    </w:p>
    <w:p w:rsidR="002E39E0" w:rsidRPr="005F552D" w:rsidRDefault="002E39E0" w:rsidP="002E39E0">
      <w:pPr>
        <w:pStyle w:val="Bezproreda"/>
        <w:ind w:left="1782"/>
        <w:jc w:val="both"/>
        <w:rPr>
          <w:b/>
        </w:rPr>
      </w:pPr>
    </w:p>
    <w:p w:rsidR="005F552D" w:rsidRDefault="005F552D" w:rsidP="002E39E0">
      <w:pPr>
        <w:pStyle w:val="Bezproreda"/>
        <w:ind w:firstLine="708"/>
        <w:jc w:val="both"/>
      </w:pPr>
      <w:r w:rsidRPr="005F552D">
        <w:t>Financijska agencija dužna je na propisanom obrascu sastaviti tablicu prijavljenih tražbina i tablicu osporenih tražbina.</w:t>
      </w:r>
      <w:r>
        <w:rPr>
          <w:rStyle w:val="Referencafusnote"/>
          <w:rFonts w:cs="Arial"/>
        </w:rPr>
        <w:footnoteReference w:id="179"/>
      </w:r>
    </w:p>
    <w:p w:rsidR="002E39E0" w:rsidRPr="005F552D" w:rsidRDefault="002E39E0" w:rsidP="002E39E0">
      <w:pPr>
        <w:pStyle w:val="Bezproreda"/>
        <w:ind w:firstLine="708"/>
        <w:jc w:val="both"/>
      </w:pPr>
    </w:p>
    <w:p w:rsidR="005F552D" w:rsidRPr="005F552D" w:rsidRDefault="005F552D" w:rsidP="002E39E0">
      <w:pPr>
        <w:pStyle w:val="Bezproreda"/>
        <w:ind w:firstLine="708"/>
        <w:jc w:val="both"/>
      </w:pPr>
      <w:r w:rsidRPr="005F552D">
        <w:t>Tablica prijavljenih tražbina za svaku tražbinu sadržava</w:t>
      </w:r>
      <w:r>
        <w:rPr>
          <w:rStyle w:val="Referencafusnote"/>
          <w:rFonts w:cs="Arial"/>
        </w:rPr>
        <w:footnoteReference w:id="180"/>
      </w:r>
      <w:r w:rsidRPr="005F552D">
        <w:t>:</w:t>
      </w:r>
    </w:p>
    <w:p w:rsidR="005F552D" w:rsidRPr="005F552D" w:rsidRDefault="005F552D" w:rsidP="002E39E0">
      <w:pPr>
        <w:pStyle w:val="Bezproreda"/>
        <w:jc w:val="both"/>
      </w:pPr>
      <w:r w:rsidRPr="005F552D">
        <w:t>1. broj prijavljene tražbine prema abecednom redu naziva vjerovnika</w:t>
      </w:r>
      <w:r w:rsidR="002E39E0">
        <w:t>,</w:t>
      </w:r>
    </w:p>
    <w:p w:rsidR="005F552D" w:rsidRPr="005F552D" w:rsidRDefault="005F552D" w:rsidP="002E39E0">
      <w:pPr>
        <w:pStyle w:val="Bezproreda"/>
        <w:jc w:val="both"/>
      </w:pPr>
      <w:r w:rsidRPr="005F552D">
        <w:t>2. podatke za identifikaciju vjerovnika</w:t>
      </w:r>
      <w:r w:rsidR="002E39E0">
        <w:t>,</w:t>
      </w:r>
    </w:p>
    <w:p w:rsidR="005F552D" w:rsidRPr="005F552D" w:rsidRDefault="005F552D" w:rsidP="002E39E0">
      <w:pPr>
        <w:pStyle w:val="Bezproreda"/>
        <w:jc w:val="both"/>
      </w:pPr>
      <w:r w:rsidRPr="005F552D">
        <w:t>3. iznos prijavljene tražbine</w:t>
      </w:r>
      <w:r w:rsidR="002E39E0">
        <w:t>,</w:t>
      </w:r>
    </w:p>
    <w:p w:rsidR="005F552D" w:rsidRPr="005F552D" w:rsidRDefault="005F552D" w:rsidP="002E39E0">
      <w:pPr>
        <w:pStyle w:val="Bezproreda"/>
        <w:jc w:val="both"/>
      </w:pPr>
      <w:r w:rsidRPr="005F552D">
        <w:t>4. pravnu osnovu tražbine</w:t>
      </w:r>
      <w:r w:rsidR="002E39E0">
        <w:t>,</w:t>
      </w:r>
    </w:p>
    <w:p w:rsidR="005F552D" w:rsidRPr="005F552D" w:rsidRDefault="005F552D" w:rsidP="002E39E0">
      <w:pPr>
        <w:pStyle w:val="Bezproreda"/>
        <w:jc w:val="both"/>
      </w:pPr>
      <w:r w:rsidRPr="005F552D">
        <w:t xml:space="preserve">5. predmet na kojem postoji </w:t>
      </w:r>
      <w:proofErr w:type="spellStart"/>
      <w:r w:rsidRPr="005F552D">
        <w:t>razlučno</w:t>
      </w:r>
      <w:proofErr w:type="spellEnd"/>
      <w:r w:rsidRPr="005F552D">
        <w:t xml:space="preserve"> ili izlučno pravo</w:t>
      </w:r>
      <w:r w:rsidR="002E39E0">
        <w:t>,</w:t>
      </w:r>
    </w:p>
    <w:p w:rsidR="005F552D" w:rsidRPr="005F552D" w:rsidRDefault="005F552D" w:rsidP="002E39E0">
      <w:pPr>
        <w:pStyle w:val="Bezproreda"/>
        <w:jc w:val="both"/>
      </w:pPr>
      <w:r w:rsidRPr="005F552D">
        <w:t>6. podatak o tome je li podnesena prijava tražbine</w:t>
      </w:r>
      <w:r w:rsidR="002E39E0">
        <w:t>,</w:t>
      </w:r>
    </w:p>
    <w:p w:rsidR="005F552D" w:rsidRPr="005F552D" w:rsidRDefault="005F552D" w:rsidP="002E39E0">
      <w:pPr>
        <w:pStyle w:val="Bezproreda"/>
        <w:jc w:val="both"/>
      </w:pPr>
      <w:r w:rsidRPr="005F552D">
        <w:t>7. datum podnošenja prijave tražbine</w:t>
      </w:r>
      <w:r w:rsidR="00B94C6E">
        <w:t>,</w:t>
      </w:r>
    </w:p>
    <w:p w:rsidR="005F552D" w:rsidRPr="005F552D" w:rsidRDefault="005F552D" w:rsidP="002E39E0">
      <w:pPr>
        <w:pStyle w:val="Bezproreda"/>
        <w:jc w:val="both"/>
      </w:pPr>
      <w:r w:rsidRPr="005F552D">
        <w:t xml:space="preserve">8. podatak o tome je li tražbina navedena u prijedlogu za otvaranje </w:t>
      </w:r>
      <w:proofErr w:type="spellStart"/>
      <w:r w:rsidRPr="005F552D">
        <w:t>predstečajnoga</w:t>
      </w:r>
      <w:proofErr w:type="spellEnd"/>
      <w:r w:rsidRPr="005F552D">
        <w:t xml:space="preserve"> postupka</w:t>
      </w:r>
      <w:r w:rsidR="00B94C6E">
        <w:t>,</w:t>
      </w:r>
    </w:p>
    <w:p w:rsidR="005F552D" w:rsidRPr="005F552D" w:rsidRDefault="005F552D" w:rsidP="002E39E0">
      <w:pPr>
        <w:pStyle w:val="Bezproreda"/>
        <w:jc w:val="both"/>
      </w:pPr>
      <w:r w:rsidRPr="005F552D">
        <w:t xml:space="preserve">9. iznos tražbine naveden u prijedlogu za otvaranje </w:t>
      </w:r>
      <w:proofErr w:type="spellStart"/>
      <w:r w:rsidRPr="005F552D">
        <w:t>predstečajnoga</w:t>
      </w:r>
      <w:proofErr w:type="spellEnd"/>
      <w:r w:rsidRPr="005F552D">
        <w:t xml:space="preserve"> postupka.</w:t>
      </w:r>
    </w:p>
    <w:p w:rsidR="00B94C6E" w:rsidRDefault="00B94C6E" w:rsidP="002E39E0">
      <w:pPr>
        <w:pStyle w:val="Bezproreda"/>
        <w:jc w:val="both"/>
      </w:pPr>
    </w:p>
    <w:p w:rsidR="005F552D" w:rsidRPr="005F552D" w:rsidRDefault="005F552D" w:rsidP="00B94C6E">
      <w:pPr>
        <w:pStyle w:val="Bezproreda"/>
        <w:ind w:firstLine="708"/>
        <w:jc w:val="both"/>
      </w:pPr>
      <w:r w:rsidRPr="005F552D">
        <w:t>Tablica osporenih tražbina za svaku osporenu tražbinu sadržava</w:t>
      </w:r>
      <w:r>
        <w:rPr>
          <w:rStyle w:val="Referencafusnote"/>
          <w:rFonts w:cs="Arial"/>
        </w:rPr>
        <w:footnoteReference w:id="181"/>
      </w:r>
      <w:r w:rsidRPr="005F552D">
        <w:t>:</w:t>
      </w:r>
    </w:p>
    <w:p w:rsidR="005F552D" w:rsidRPr="005F552D" w:rsidRDefault="005F552D" w:rsidP="002E39E0">
      <w:pPr>
        <w:pStyle w:val="Bezproreda"/>
        <w:jc w:val="both"/>
      </w:pPr>
      <w:r w:rsidRPr="005F552D">
        <w:t>1. broj osporene tražbine iz tablice prijavljenih tražbina</w:t>
      </w:r>
      <w:r w:rsidR="00B94C6E">
        <w:t>,</w:t>
      </w:r>
    </w:p>
    <w:p w:rsidR="005F552D" w:rsidRPr="005F552D" w:rsidRDefault="005F552D" w:rsidP="002E39E0">
      <w:pPr>
        <w:pStyle w:val="Bezproreda"/>
        <w:jc w:val="both"/>
      </w:pPr>
      <w:r w:rsidRPr="005F552D">
        <w:t>2. podatke za identifikaciju vjerovnika koji je prijavio tražbinu koja je osporena</w:t>
      </w:r>
      <w:r w:rsidR="00B94C6E">
        <w:t>,</w:t>
      </w:r>
    </w:p>
    <w:p w:rsidR="005F552D" w:rsidRPr="005F552D" w:rsidRDefault="005F552D" w:rsidP="002E39E0">
      <w:pPr>
        <w:pStyle w:val="Bezproreda"/>
        <w:jc w:val="both"/>
      </w:pPr>
      <w:r w:rsidRPr="005F552D">
        <w:t>3. iznos prijavljene tražbine koja je osporena</w:t>
      </w:r>
      <w:r w:rsidR="00B94C6E">
        <w:t>,</w:t>
      </w:r>
    </w:p>
    <w:p w:rsidR="005F552D" w:rsidRPr="005F552D" w:rsidRDefault="005F552D" w:rsidP="002E39E0">
      <w:pPr>
        <w:pStyle w:val="Bezproreda"/>
        <w:jc w:val="both"/>
      </w:pPr>
      <w:r w:rsidRPr="005F552D">
        <w:t>4. podatke za identifikaciju osporavatelja</w:t>
      </w:r>
      <w:r w:rsidR="00B94C6E">
        <w:t>,</w:t>
      </w:r>
    </w:p>
    <w:p w:rsidR="005F552D" w:rsidRPr="005F552D" w:rsidRDefault="005F552D" w:rsidP="002E39E0">
      <w:pPr>
        <w:pStyle w:val="Bezproreda"/>
        <w:jc w:val="both"/>
      </w:pPr>
      <w:r w:rsidRPr="005F552D">
        <w:t>5. datum podnošenja osporavanja tražbine</w:t>
      </w:r>
      <w:r w:rsidR="00B94C6E">
        <w:t>,</w:t>
      </w:r>
    </w:p>
    <w:p w:rsidR="005F552D" w:rsidRPr="005F552D" w:rsidRDefault="005F552D" w:rsidP="002E39E0">
      <w:pPr>
        <w:pStyle w:val="Bezproreda"/>
        <w:jc w:val="both"/>
      </w:pPr>
      <w:r w:rsidRPr="005F552D">
        <w:t>6. osporavani iznos tražbine</w:t>
      </w:r>
      <w:r w:rsidR="00B94C6E">
        <w:t>,</w:t>
      </w:r>
    </w:p>
    <w:p w:rsidR="005F552D" w:rsidRPr="005F552D" w:rsidRDefault="005F552D" w:rsidP="002E39E0">
      <w:pPr>
        <w:pStyle w:val="Bezproreda"/>
        <w:jc w:val="both"/>
      </w:pPr>
      <w:r w:rsidRPr="005F552D">
        <w:t>7. činjenice iz kojih proizlazi nepostojanje osporene tražbine ili dijela tražbine.</w:t>
      </w:r>
    </w:p>
    <w:p w:rsidR="00B94C6E" w:rsidRDefault="00B94C6E" w:rsidP="002E39E0">
      <w:pPr>
        <w:pStyle w:val="Bezproreda"/>
        <w:jc w:val="both"/>
      </w:pPr>
    </w:p>
    <w:p w:rsidR="00B94C6E" w:rsidRDefault="005F552D" w:rsidP="00B94C6E">
      <w:pPr>
        <w:pStyle w:val="Bezproreda"/>
        <w:ind w:firstLine="708"/>
        <w:jc w:val="both"/>
      </w:pPr>
      <w:r w:rsidRPr="005F552D">
        <w:t>F</w:t>
      </w:r>
      <w:r w:rsidR="00B94C6E">
        <w:t>INA je</w:t>
      </w:r>
      <w:r w:rsidRPr="005F552D">
        <w:t xml:space="preserve"> dužna objaviti na mrežnoj stranici e-Oglasna ploča sudova u roku od tri dana:</w:t>
      </w:r>
      <w:r>
        <w:t xml:space="preserve"> </w:t>
      </w:r>
    </w:p>
    <w:p w:rsidR="005F552D" w:rsidRDefault="00B94C6E" w:rsidP="00B94C6E">
      <w:pPr>
        <w:pStyle w:val="Bezproreda"/>
        <w:ind w:firstLine="708"/>
        <w:jc w:val="both"/>
      </w:pPr>
      <w:r>
        <w:lastRenderedPageBreak/>
        <w:t xml:space="preserve">- </w:t>
      </w:r>
      <w:r w:rsidR="005F552D" w:rsidRPr="005F552D">
        <w:t>od dana isteka roka za prijavu tražbine, tablicu prijavljenih tražbina zajedno s prijavama tražbina i ispravama</w:t>
      </w:r>
      <w:r>
        <w:t>,</w:t>
      </w:r>
      <w:r w:rsidR="005F552D">
        <w:rPr>
          <w:rStyle w:val="Referencafusnote"/>
          <w:rFonts w:cs="Arial"/>
        </w:rPr>
        <w:footnoteReference w:id="182"/>
      </w:r>
    </w:p>
    <w:p w:rsidR="005F552D" w:rsidRDefault="00B94C6E" w:rsidP="00B94C6E">
      <w:pPr>
        <w:pStyle w:val="Bezproreda"/>
        <w:ind w:firstLine="708"/>
        <w:jc w:val="both"/>
      </w:pPr>
      <w:r>
        <w:t xml:space="preserve">- </w:t>
      </w:r>
      <w:r w:rsidR="005F552D" w:rsidRPr="005F552D">
        <w:t>od dana isteka roka za očitovanje dužnika i povjerenika ako je imenovan o prijavljenim tražbinama, očitovanje o prijavljenim tražbinama, odnosno podatak da očitovanje nije dostavljeno</w:t>
      </w:r>
      <w:r>
        <w:t>,</w:t>
      </w:r>
    </w:p>
    <w:p w:rsidR="005F552D" w:rsidRDefault="00B94C6E" w:rsidP="00B94C6E">
      <w:pPr>
        <w:pStyle w:val="Bezproreda"/>
        <w:ind w:firstLine="708"/>
        <w:jc w:val="both"/>
      </w:pPr>
      <w:r>
        <w:t xml:space="preserve">- </w:t>
      </w:r>
      <w:r w:rsidR="005F552D" w:rsidRPr="005F552D">
        <w:t>od dana isteka roka za osporavanje tražbina, tablicu osporenih tražbina.</w:t>
      </w:r>
    </w:p>
    <w:p w:rsidR="00B94C6E" w:rsidRPr="005F552D" w:rsidRDefault="00B94C6E" w:rsidP="00B94C6E">
      <w:pPr>
        <w:pStyle w:val="Bezproreda"/>
        <w:ind w:firstLine="708"/>
        <w:jc w:val="both"/>
      </w:pPr>
    </w:p>
    <w:p w:rsidR="005F552D" w:rsidRDefault="005F552D" w:rsidP="00B94C6E">
      <w:pPr>
        <w:pStyle w:val="Bezproreda"/>
        <w:ind w:firstLine="708"/>
        <w:jc w:val="both"/>
      </w:pPr>
      <w:r w:rsidRPr="005F552D">
        <w:t xml:space="preserve">Ako je prijava tražbine, očitovanje o prijavljenim tražbinama ili osporavanje tražbine primljeno nakon objava iz stavka 4. </w:t>
      </w:r>
      <w:r>
        <w:t>č</w:t>
      </w:r>
      <w:r w:rsidRPr="005F552D">
        <w:t>lanka</w:t>
      </w:r>
      <w:r>
        <w:t xml:space="preserve"> 43. SZ-a</w:t>
      </w:r>
      <w:r w:rsidRPr="005F552D">
        <w:t>, F</w:t>
      </w:r>
      <w:r w:rsidR="00B94C6E">
        <w:t>INA</w:t>
      </w:r>
      <w:r w:rsidRPr="005F552D">
        <w:t xml:space="preserve"> </w:t>
      </w:r>
      <w:r w:rsidR="00B94C6E">
        <w:t xml:space="preserve">je </w:t>
      </w:r>
      <w:r w:rsidRPr="005F552D">
        <w:t>dužna sastaviti dopunu tablica i zajedno s prijavom tražbine, očitovanjem o prijavljenim tražbinama ili osporavanjem tražbine i ispravama objaviti na mrežnoj stranici e-Oglasna ploča sudova najkasnije prvoga dana nakon primitka.</w:t>
      </w:r>
      <w:r w:rsidR="00011A25">
        <w:rPr>
          <w:rStyle w:val="Referencafusnote"/>
        </w:rPr>
        <w:footnoteReference w:id="183"/>
      </w:r>
    </w:p>
    <w:p w:rsidR="00B94C6E" w:rsidRPr="005F552D" w:rsidRDefault="00B94C6E" w:rsidP="00B94C6E">
      <w:pPr>
        <w:pStyle w:val="Bezproreda"/>
        <w:ind w:firstLine="708"/>
        <w:jc w:val="both"/>
      </w:pPr>
    </w:p>
    <w:p w:rsidR="005F552D" w:rsidRPr="005F552D" w:rsidRDefault="005F552D" w:rsidP="00B94C6E">
      <w:pPr>
        <w:pStyle w:val="Bezproreda"/>
        <w:ind w:firstLine="708"/>
        <w:jc w:val="both"/>
      </w:pPr>
      <w:r w:rsidRPr="005F552D">
        <w:t>F</w:t>
      </w:r>
      <w:r w:rsidR="00B94C6E">
        <w:t>INA</w:t>
      </w:r>
      <w:r w:rsidRPr="005F552D">
        <w:t xml:space="preserve"> </w:t>
      </w:r>
      <w:r w:rsidR="00B94C6E">
        <w:t xml:space="preserve">je </w:t>
      </w:r>
      <w:r w:rsidRPr="005F552D">
        <w:t xml:space="preserve">dužna </w:t>
      </w:r>
      <w:r w:rsidR="00B94C6E">
        <w:t>d</w:t>
      </w:r>
      <w:r w:rsidRPr="005F552D">
        <w:t>ostaviti sudu cjelokupnu primljenu dokumentaciju u papirnatom obliku u roku od tri dana od isteka roka za osporavanje tražbina, a naknadno primljenu najkasnije prvoga dana nakon primitka.</w:t>
      </w:r>
      <w:r w:rsidR="00011A25">
        <w:rPr>
          <w:rStyle w:val="Referencafusnote"/>
        </w:rPr>
        <w:footnoteReference w:id="184"/>
      </w:r>
    </w:p>
    <w:p w:rsidR="00B94C6E" w:rsidRDefault="00B94C6E" w:rsidP="002E39E0">
      <w:pPr>
        <w:pStyle w:val="Bezproreda"/>
        <w:jc w:val="both"/>
      </w:pPr>
    </w:p>
    <w:p w:rsidR="005F552D" w:rsidRPr="005F552D" w:rsidRDefault="005F552D" w:rsidP="00B94C6E">
      <w:pPr>
        <w:pStyle w:val="Bezproreda"/>
        <w:ind w:firstLine="708"/>
        <w:jc w:val="both"/>
      </w:pPr>
      <w:r w:rsidRPr="005F552D">
        <w:t>F</w:t>
      </w:r>
      <w:r w:rsidR="00B94C6E">
        <w:t>INA je</w:t>
      </w:r>
      <w:r w:rsidRPr="005F552D">
        <w:t xml:space="preserve"> dužna omogućiti dužniku i vjerovniku uvid u cjelokupnu primljenu dokumentaciju sve dok ne postupi prema stavku 6. </w:t>
      </w:r>
      <w:r w:rsidR="00B94C6E">
        <w:t>č</w:t>
      </w:r>
      <w:r w:rsidRPr="005F552D">
        <w:t>lanka</w:t>
      </w:r>
      <w:r w:rsidR="00B94C6E">
        <w:t xml:space="preserve"> 43. SZ-a</w:t>
      </w:r>
      <w:r w:rsidRPr="005F552D">
        <w:t>.</w:t>
      </w:r>
      <w:r w:rsidR="00011A25">
        <w:rPr>
          <w:rStyle w:val="Referencafusnote"/>
        </w:rPr>
        <w:footnoteReference w:id="185"/>
      </w:r>
    </w:p>
    <w:p w:rsidR="005F552D" w:rsidRDefault="005F552D" w:rsidP="002E39E0">
      <w:pPr>
        <w:pStyle w:val="Odlomakpopisa"/>
        <w:autoSpaceDE w:val="0"/>
        <w:autoSpaceDN w:val="0"/>
        <w:adjustRightInd w:val="0"/>
        <w:spacing w:before="150" w:after="150" w:line="240" w:lineRule="auto"/>
        <w:ind w:left="709"/>
        <w:jc w:val="both"/>
        <w:rPr>
          <w:rFonts w:ascii="Arial" w:hAnsi="Arial" w:cs="Arial"/>
          <w:b/>
          <w:sz w:val="24"/>
          <w:szCs w:val="24"/>
        </w:rPr>
      </w:pPr>
    </w:p>
    <w:p w:rsidR="00281FC4" w:rsidRDefault="00281FC4" w:rsidP="002E39E0">
      <w:pPr>
        <w:pStyle w:val="Odlomakpopisa"/>
        <w:autoSpaceDE w:val="0"/>
        <w:autoSpaceDN w:val="0"/>
        <w:adjustRightInd w:val="0"/>
        <w:spacing w:before="150" w:after="150" w:line="240" w:lineRule="auto"/>
        <w:ind w:left="709"/>
        <w:jc w:val="both"/>
        <w:rPr>
          <w:rFonts w:ascii="Arial" w:hAnsi="Arial" w:cs="Arial"/>
          <w:b/>
          <w:sz w:val="24"/>
          <w:szCs w:val="24"/>
        </w:rPr>
      </w:pPr>
    </w:p>
    <w:p w:rsidR="000E6A87" w:rsidRDefault="00281FC4" w:rsidP="00281FC4">
      <w:pPr>
        <w:pStyle w:val="Naslov3"/>
      </w:pPr>
      <w:bookmarkStart w:id="32" w:name="_Toc507067630"/>
      <w:r>
        <w:t xml:space="preserve">2.3.9. </w:t>
      </w:r>
      <w:r w:rsidR="00C009D1" w:rsidRPr="00281FC4">
        <w:t>Ročište radi ispitivanja tražbina</w:t>
      </w:r>
      <w:bookmarkEnd w:id="32"/>
      <w:r w:rsidR="000E6A87" w:rsidRPr="00281FC4">
        <w:t xml:space="preserve"> </w:t>
      </w:r>
    </w:p>
    <w:p w:rsidR="00281FC4" w:rsidRPr="00281FC4" w:rsidRDefault="00281FC4" w:rsidP="00281FC4"/>
    <w:p w:rsidR="008B0906" w:rsidRPr="00DE521B" w:rsidRDefault="000E6A87" w:rsidP="00B0658C">
      <w:pPr>
        <w:pStyle w:val="Bezproreda"/>
        <w:jc w:val="both"/>
      </w:pPr>
      <w:r w:rsidRPr="00DE521B">
        <w:tab/>
      </w:r>
      <w:r w:rsidR="00882EF8" w:rsidRPr="00DE521B">
        <w:t>Na ročištu radi ispitivanja tražbin</w:t>
      </w:r>
      <w:r w:rsidR="00AE56D7" w:rsidRPr="00DE521B">
        <w:t>a</w:t>
      </w:r>
      <w:r w:rsidR="00882EF8" w:rsidRPr="00DE521B">
        <w:t xml:space="preserve"> sud ispituje prijavljen</w:t>
      </w:r>
      <w:r w:rsidR="00761971" w:rsidRPr="00DE521B">
        <w:t>e tražbine.</w:t>
      </w:r>
      <w:r w:rsidR="00011A25">
        <w:rPr>
          <w:rStyle w:val="Referencafusnote"/>
          <w:rFonts w:cs="Arial"/>
          <w:szCs w:val="24"/>
          <w:lang w:val="x-none"/>
        </w:rPr>
        <w:footnoteReference w:id="186"/>
      </w:r>
      <w:r w:rsidR="00761971" w:rsidRPr="00DE521B">
        <w:t xml:space="preserve"> </w:t>
      </w:r>
      <w:r w:rsidR="007849C0" w:rsidRPr="00DE521B">
        <w:t>R</w:t>
      </w:r>
      <w:r w:rsidR="00761971" w:rsidRPr="00DE521B">
        <w:t xml:space="preserve">očištu </w:t>
      </w:r>
      <w:r w:rsidR="008B0906" w:rsidRPr="00DE521B">
        <w:t xml:space="preserve">mogu </w:t>
      </w:r>
      <w:r w:rsidR="00761971" w:rsidRPr="00DE521B">
        <w:t>sudjel</w:t>
      </w:r>
      <w:r w:rsidR="008B0906" w:rsidRPr="00DE521B">
        <w:t xml:space="preserve">ovati </w:t>
      </w:r>
      <w:r w:rsidR="00882EF8" w:rsidRPr="00DE521B">
        <w:t>povjerenik, dužnik i vjerovnici koji su prijavili tražbine.</w:t>
      </w:r>
      <w:r w:rsidR="008B0906" w:rsidRPr="00DE521B">
        <w:t xml:space="preserve"> Ako ročištu nisu nazočni vjerovnici koji su prijavili tražbine ročište će se održati. </w:t>
      </w:r>
      <w:r w:rsidR="00882EF8" w:rsidRPr="00DE521B">
        <w:t xml:space="preserve"> </w:t>
      </w:r>
    </w:p>
    <w:p w:rsidR="008B0906" w:rsidRPr="00DE521B" w:rsidRDefault="00761971" w:rsidP="008B0906">
      <w:pPr>
        <w:autoSpaceDE w:val="0"/>
        <w:autoSpaceDN w:val="0"/>
        <w:adjustRightInd w:val="0"/>
        <w:spacing w:before="120" w:after="120" w:line="240" w:lineRule="auto"/>
        <w:ind w:firstLine="708"/>
        <w:jc w:val="both"/>
        <w:rPr>
          <w:rFonts w:ascii="Arial" w:hAnsi="Arial" w:cs="Arial"/>
          <w:sz w:val="24"/>
          <w:szCs w:val="24"/>
        </w:rPr>
      </w:pPr>
      <w:r w:rsidRPr="00DE521B">
        <w:rPr>
          <w:rFonts w:ascii="Arial" w:hAnsi="Arial" w:cs="Arial"/>
          <w:sz w:val="24"/>
          <w:szCs w:val="24"/>
        </w:rPr>
        <w:t xml:space="preserve">Zakonodavac nije odredio </w:t>
      </w:r>
      <w:r w:rsidR="00DE521B" w:rsidRPr="00DE521B">
        <w:rPr>
          <w:rFonts w:ascii="Arial" w:hAnsi="Arial" w:cs="Arial"/>
          <w:sz w:val="24"/>
          <w:szCs w:val="24"/>
        </w:rPr>
        <w:t xml:space="preserve">pravne </w:t>
      </w:r>
      <w:r w:rsidR="008B0906" w:rsidRPr="00DE521B">
        <w:rPr>
          <w:rFonts w:ascii="Arial" w:hAnsi="Arial" w:cs="Arial"/>
          <w:sz w:val="24"/>
          <w:szCs w:val="24"/>
        </w:rPr>
        <w:t xml:space="preserve">posljedice </w:t>
      </w:r>
      <w:r w:rsidRPr="00DE521B">
        <w:rPr>
          <w:rFonts w:ascii="Arial" w:hAnsi="Arial" w:cs="Arial"/>
          <w:sz w:val="24"/>
          <w:szCs w:val="24"/>
        </w:rPr>
        <w:t>ako ročištu nisu nazo</w:t>
      </w:r>
      <w:r w:rsidR="008B0906" w:rsidRPr="00DE521B">
        <w:rPr>
          <w:rFonts w:ascii="Arial" w:hAnsi="Arial" w:cs="Arial"/>
          <w:sz w:val="24"/>
          <w:szCs w:val="24"/>
        </w:rPr>
        <w:t xml:space="preserve">čni dužnik i povjerenik. </w:t>
      </w:r>
      <w:r w:rsidRPr="00DE521B">
        <w:rPr>
          <w:rFonts w:ascii="Arial" w:hAnsi="Arial" w:cs="Arial"/>
          <w:sz w:val="24"/>
          <w:szCs w:val="24"/>
        </w:rPr>
        <w:t xml:space="preserve">Pravilom </w:t>
      </w:r>
      <w:r w:rsidR="000E317B" w:rsidRPr="00DE521B">
        <w:rPr>
          <w:rFonts w:ascii="Arial" w:hAnsi="Arial" w:cs="Arial"/>
          <w:sz w:val="24"/>
          <w:szCs w:val="24"/>
        </w:rPr>
        <w:t xml:space="preserve">tumačenja </w:t>
      </w:r>
      <w:proofErr w:type="spellStart"/>
      <w:r w:rsidRPr="00DE521B">
        <w:rPr>
          <w:rFonts w:ascii="Arial" w:hAnsi="Arial" w:cs="Arial"/>
          <w:i/>
          <w:sz w:val="24"/>
          <w:szCs w:val="24"/>
        </w:rPr>
        <w:t>argumentum</w:t>
      </w:r>
      <w:proofErr w:type="spellEnd"/>
      <w:r w:rsidRPr="00DE521B">
        <w:rPr>
          <w:rFonts w:ascii="Arial" w:hAnsi="Arial" w:cs="Arial"/>
          <w:i/>
          <w:sz w:val="24"/>
          <w:szCs w:val="24"/>
        </w:rPr>
        <w:t xml:space="preserve"> a </w:t>
      </w:r>
      <w:proofErr w:type="spellStart"/>
      <w:r w:rsidRPr="00DE521B">
        <w:rPr>
          <w:rFonts w:ascii="Arial" w:hAnsi="Arial" w:cs="Arial"/>
          <w:i/>
          <w:sz w:val="24"/>
          <w:szCs w:val="24"/>
        </w:rPr>
        <w:t>contrario</w:t>
      </w:r>
      <w:proofErr w:type="spellEnd"/>
      <w:r w:rsidRPr="00DE521B">
        <w:rPr>
          <w:rFonts w:ascii="Arial" w:hAnsi="Arial" w:cs="Arial"/>
          <w:sz w:val="24"/>
          <w:szCs w:val="24"/>
        </w:rPr>
        <w:t xml:space="preserve"> </w:t>
      </w:r>
      <w:r w:rsidR="00DE521B" w:rsidRPr="00DE521B">
        <w:rPr>
          <w:rFonts w:ascii="Arial" w:hAnsi="Arial" w:cs="Arial"/>
          <w:sz w:val="24"/>
          <w:szCs w:val="24"/>
        </w:rPr>
        <w:t>valja</w:t>
      </w:r>
      <w:r w:rsidR="000E317B" w:rsidRPr="00DE521B">
        <w:rPr>
          <w:rFonts w:ascii="Arial" w:hAnsi="Arial" w:cs="Arial"/>
          <w:sz w:val="24"/>
          <w:szCs w:val="24"/>
        </w:rPr>
        <w:t xml:space="preserve"> zaključiti da se ročište radi ispitivanja tražbina ne</w:t>
      </w:r>
      <w:r w:rsidR="008B0906" w:rsidRPr="00DE521B">
        <w:rPr>
          <w:rFonts w:ascii="Arial" w:hAnsi="Arial" w:cs="Arial"/>
          <w:sz w:val="24"/>
          <w:szCs w:val="24"/>
        </w:rPr>
        <w:t xml:space="preserve"> može </w:t>
      </w:r>
      <w:r w:rsidR="000E317B" w:rsidRPr="00DE521B">
        <w:rPr>
          <w:rFonts w:ascii="Arial" w:hAnsi="Arial" w:cs="Arial"/>
          <w:sz w:val="24"/>
          <w:szCs w:val="24"/>
        </w:rPr>
        <w:t>održati ako nisu nazočni dužnik i povjerenik, ako je imenovan</w:t>
      </w:r>
      <w:r w:rsidR="00781B11" w:rsidRPr="00DE521B">
        <w:rPr>
          <w:rFonts w:ascii="Arial" w:hAnsi="Arial" w:cs="Arial"/>
          <w:sz w:val="24"/>
          <w:szCs w:val="24"/>
        </w:rPr>
        <w:t xml:space="preserve">. </w:t>
      </w:r>
      <w:r w:rsidR="004F1548" w:rsidRPr="00DE521B">
        <w:rPr>
          <w:rFonts w:ascii="Arial" w:hAnsi="Arial" w:cs="Arial"/>
          <w:sz w:val="24"/>
          <w:szCs w:val="24"/>
        </w:rPr>
        <w:t>U slučaju ne dolaska dužnika na ročište radi ispitivanja tražbina s</w:t>
      </w:r>
      <w:r w:rsidR="008B0906" w:rsidRPr="00DE521B">
        <w:rPr>
          <w:rFonts w:ascii="Arial" w:hAnsi="Arial" w:cs="Arial"/>
          <w:sz w:val="24"/>
          <w:szCs w:val="24"/>
        </w:rPr>
        <w:t>ud ne</w:t>
      </w:r>
      <w:r w:rsidR="004F1548" w:rsidRPr="00DE521B">
        <w:rPr>
          <w:rFonts w:ascii="Arial" w:hAnsi="Arial" w:cs="Arial"/>
          <w:sz w:val="24"/>
          <w:szCs w:val="24"/>
        </w:rPr>
        <w:t xml:space="preserve"> bi</w:t>
      </w:r>
      <w:r w:rsidR="008B0906" w:rsidRPr="00DE521B">
        <w:rPr>
          <w:rFonts w:ascii="Arial" w:hAnsi="Arial" w:cs="Arial"/>
          <w:sz w:val="24"/>
          <w:szCs w:val="24"/>
        </w:rPr>
        <w:t xml:space="preserve"> mo</w:t>
      </w:r>
      <w:r w:rsidR="004F1548" w:rsidRPr="00DE521B">
        <w:rPr>
          <w:rFonts w:ascii="Arial" w:hAnsi="Arial" w:cs="Arial"/>
          <w:sz w:val="24"/>
          <w:szCs w:val="24"/>
        </w:rPr>
        <w:t>gao</w:t>
      </w:r>
      <w:r w:rsidR="008B0906" w:rsidRPr="00DE521B">
        <w:rPr>
          <w:rFonts w:ascii="Arial" w:hAnsi="Arial" w:cs="Arial"/>
          <w:sz w:val="24"/>
          <w:szCs w:val="24"/>
        </w:rPr>
        <w:t xml:space="preserve"> utvrditi da je dužnik predlagatelj povukao prijedlog </w:t>
      </w:r>
      <w:r w:rsidR="00DE521B" w:rsidRPr="00DE521B">
        <w:rPr>
          <w:rFonts w:ascii="Arial" w:hAnsi="Arial" w:cs="Arial"/>
          <w:sz w:val="24"/>
          <w:szCs w:val="24"/>
        </w:rPr>
        <w:t xml:space="preserve">niti bi </w:t>
      </w:r>
      <w:r w:rsidR="008B0906" w:rsidRPr="00DE521B">
        <w:rPr>
          <w:rFonts w:ascii="Arial" w:hAnsi="Arial" w:cs="Arial"/>
          <w:sz w:val="24"/>
          <w:szCs w:val="24"/>
        </w:rPr>
        <w:t xml:space="preserve">mogao </w:t>
      </w:r>
      <w:r w:rsidR="00C009D1" w:rsidRPr="00DE521B">
        <w:rPr>
          <w:rFonts w:ascii="Arial" w:hAnsi="Arial" w:cs="Arial"/>
          <w:sz w:val="24"/>
          <w:szCs w:val="24"/>
        </w:rPr>
        <w:t>odbaciti prijedlog za ot</w:t>
      </w:r>
      <w:r w:rsidR="008B0906" w:rsidRPr="00DE521B">
        <w:rPr>
          <w:rFonts w:ascii="Arial" w:hAnsi="Arial" w:cs="Arial"/>
          <w:sz w:val="24"/>
          <w:szCs w:val="24"/>
        </w:rPr>
        <w:t xml:space="preserve">varanje </w:t>
      </w:r>
      <w:proofErr w:type="spellStart"/>
      <w:r w:rsidR="008B0906" w:rsidRPr="00DE521B">
        <w:rPr>
          <w:rFonts w:ascii="Arial" w:hAnsi="Arial" w:cs="Arial"/>
          <w:sz w:val="24"/>
          <w:szCs w:val="24"/>
        </w:rPr>
        <w:t>predstečajnog</w:t>
      </w:r>
      <w:proofErr w:type="spellEnd"/>
      <w:r w:rsidR="008B0906" w:rsidRPr="00DE521B">
        <w:rPr>
          <w:rFonts w:ascii="Arial" w:hAnsi="Arial" w:cs="Arial"/>
          <w:sz w:val="24"/>
          <w:szCs w:val="24"/>
        </w:rPr>
        <w:t xml:space="preserve"> postupka </w:t>
      </w:r>
      <w:r w:rsidR="004F1548" w:rsidRPr="00DE521B">
        <w:rPr>
          <w:rFonts w:ascii="Arial" w:hAnsi="Arial" w:cs="Arial"/>
          <w:sz w:val="24"/>
          <w:szCs w:val="24"/>
        </w:rPr>
        <w:t xml:space="preserve">pa </w:t>
      </w:r>
      <w:r w:rsidR="00781B11" w:rsidRPr="00DE521B">
        <w:rPr>
          <w:rFonts w:ascii="Arial" w:hAnsi="Arial" w:cs="Arial"/>
          <w:sz w:val="24"/>
          <w:szCs w:val="24"/>
        </w:rPr>
        <w:t xml:space="preserve">ostaje jedina mogućnost zakazivanja novog ročišta. </w:t>
      </w:r>
    </w:p>
    <w:p w:rsidR="00B87960" w:rsidRDefault="00764E47" w:rsidP="00B87960">
      <w:pPr>
        <w:pStyle w:val="t-9-8"/>
        <w:ind w:firstLine="708"/>
        <w:jc w:val="both"/>
        <w:rPr>
          <w:rFonts w:ascii="Arial" w:hAnsi="Arial" w:cs="Arial"/>
        </w:rPr>
      </w:pPr>
      <w:r w:rsidRPr="00DE521B">
        <w:rPr>
          <w:rFonts w:ascii="Arial" w:hAnsi="Arial" w:cs="Arial"/>
          <w:lang w:val="x-none"/>
        </w:rPr>
        <w:t xml:space="preserve">Tražbine prijavljene u </w:t>
      </w:r>
      <w:r w:rsidR="008664BC" w:rsidRPr="00DE521B">
        <w:rPr>
          <w:rFonts w:ascii="Arial" w:hAnsi="Arial" w:cs="Arial"/>
        </w:rPr>
        <w:t>zakonskom</w:t>
      </w:r>
      <w:r w:rsidRPr="00DE521B">
        <w:rPr>
          <w:rFonts w:ascii="Arial" w:hAnsi="Arial" w:cs="Arial"/>
          <w:lang w:val="x-none"/>
        </w:rPr>
        <w:t xml:space="preserve"> roku smatraju se utvrđenim ako ih nije osporio dužnik, povjerenik ili vjerovnik</w:t>
      </w:r>
      <w:r w:rsidR="000E317B" w:rsidRPr="00DE521B">
        <w:rPr>
          <w:rStyle w:val="Referencafusnote"/>
          <w:rFonts w:ascii="Arial" w:hAnsi="Arial" w:cs="Arial"/>
          <w:lang w:val="x-none"/>
        </w:rPr>
        <w:footnoteReference w:id="187"/>
      </w:r>
      <w:r w:rsidRPr="00DE521B">
        <w:rPr>
          <w:rFonts w:ascii="Arial" w:hAnsi="Arial" w:cs="Arial"/>
          <w:lang w:val="x-none"/>
        </w:rPr>
        <w:t>.</w:t>
      </w:r>
      <w:r w:rsidR="004E0F8C" w:rsidRPr="00DE521B">
        <w:rPr>
          <w:rFonts w:ascii="Arial" w:hAnsi="Arial" w:cs="Arial"/>
        </w:rPr>
        <w:t xml:space="preserve"> </w:t>
      </w:r>
      <w:r w:rsidR="00882EF8" w:rsidRPr="00DE521B">
        <w:rPr>
          <w:rFonts w:ascii="Arial" w:hAnsi="Arial" w:cs="Arial"/>
          <w:lang w:val="x-none"/>
        </w:rPr>
        <w:t>Tražbine koje je osporio dužnik, povjerenik ili vjerovnik moraju se raspraviti</w:t>
      </w:r>
      <w:r w:rsidR="00B974C7" w:rsidRPr="00DE521B">
        <w:rPr>
          <w:rFonts w:ascii="Arial" w:hAnsi="Arial" w:cs="Arial"/>
        </w:rPr>
        <w:t xml:space="preserve"> na ročištu </w:t>
      </w:r>
      <w:r w:rsidR="00B974C7" w:rsidRPr="00DE521B">
        <w:rPr>
          <w:rFonts w:ascii="Arial" w:hAnsi="Arial" w:cs="Arial"/>
          <w:lang w:val="x-none"/>
        </w:rPr>
        <w:t>radi ispitivanja tražbina</w:t>
      </w:r>
      <w:r w:rsidR="00882EF8" w:rsidRPr="00DE521B">
        <w:rPr>
          <w:rFonts w:ascii="Arial" w:hAnsi="Arial" w:cs="Arial"/>
          <w:lang w:val="x-none"/>
        </w:rPr>
        <w:t xml:space="preserve">. </w:t>
      </w:r>
      <w:r w:rsidR="00B974C7" w:rsidRPr="00DE521B">
        <w:rPr>
          <w:rFonts w:ascii="Arial" w:hAnsi="Arial" w:cs="Arial"/>
        </w:rPr>
        <w:t xml:space="preserve">Osporene tražbine </w:t>
      </w:r>
      <w:r w:rsidR="00882EF8" w:rsidRPr="00DE521B">
        <w:rPr>
          <w:rFonts w:ascii="Arial" w:hAnsi="Arial" w:cs="Arial"/>
          <w:lang w:val="x-none"/>
        </w:rPr>
        <w:t>mogu se priznati</w:t>
      </w:r>
      <w:r w:rsidR="00B974C7" w:rsidRPr="00DE521B">
        <w:rPr>
          <w:rFonts w:ascii="Arial" w:hAnsi="Arial" w:cs="Arial"/>
        </w:rPr>
        <w:t xml:space="preserve"> na ročištu </w:t>
      </w:r>
      <w:r w:rsidR="00B974C7" w:rsidRPr="00DE521B">
        <w:rPr>
          <w:rFonts w:ascii="Arial" w:hAnsi="Arial" w:cs="Arial"/>
          <w:lang w:val="x-none"/>
        </w:rPr>
        <w:t>radi ispitivanja tražbina</w:t>
      </w:r>
      <w:r w:rsidR="00B974C7" w:rsidRPr="00DE521B">
        <w:rPr>
          <w:rStyle w:val="Referencafusnote"/>
          <w:rFonts w:ascii="Arial" w:hAnsi="Arial" w:cs="Arial"/>
          <w:lang w:val="x-none"/>
        </w:rPr>
        <w:t xml:space="preserve"> </w:t>
      </w:r>
      <w:r w:rsidR="000E317B" w:rsidRPr="00DE521B">
        <w:rPr>
          <w:rStyle w:val="Referencafusnote"/>
          <w:rFonts w:ascii="Arial" w:hAnsi="Arial" w:cs="Arial"/>
          <w:lang w:val="x-none"/>
        </w:rPr>
        <w:footnoteReference w:id="188"/>
      </w:r>
      <w:r w:rsidR="00882EF8" w:rsidRPr="00DE521B">
        <w:rPr>
          <w:rFonts w:ascii="Arial" w:hAnsi="Arial" w:cs="Arial"/>
          <w:lang w:val="x-none"/>
        </w:rPr>
        <w:t>.</w:t>
      </w:r>
      <w:r w:rsidR="00330953" w:rsidRPr="00DE521B">
        <w:rPr>
          <w:rFonts w:ascii="Arial" w:hAnsi="Arial" w:cs="Arial"/>
        </w:rPr>
        <w:t xml:space="preserve"> U slučaju da prijavljene tražbine nisu osporene nema smetnje da se ročište </w:t>
      </w:r>
      <w:r w:rsidR="00AE56D7" w:rsidRPr="00DE521B">
        <w:rPr>
          <w:rFonts w:ascii="Arial" w:hAnsi="Arial" w:cs="Arial"/>
        </w:rPr>
        <w:t xml:space="preserve">radi ispitivanja tražbina </w:t>
      </w:r>
      <w:r w:rsidR="00330953" w:rsidRPr="00DE521B">
        <w:rPr>
          <w:rFonts w:ascii="Arial" w:hAnsi="Arial" w:cs="Arial"/>
        </w:rPr>
        <w:t>održi i bez dužnika i/ili povjerenika.</w:t>
      </w:r>
      <w:r w:rsidR="00B87960" w:rsidRPr="00DE521B">
        <w:rPr>
          <w:rFonts w:ascii="Arial" w:hAnsi="Arial" w:cs="Arial"/>
        </w:rPr>
        <w:t xml:space="preserve"> </w:t>
      </w:r>
      <w:r w:rsidR="00B87960">
        <w:rPr>
          <w:rFonts w:ascii="Arial" w:hAnsi="Arial" w:cs="Arial"/>
        </w:rPr>
        <w:t xml:space="preserve">Na ročištu radi ispitivanja tražbina osporene tražbine mogu se priznati, ali tražbine koje nisu osporene prije ročišta ne mogu se osporiti na ročištu.  </w:t>
      </w:r>
    </w:p>
    <w:p w:rsidR="00281FC4" w:rsidRDefault="00281FC4" w:rsidP="00B87960">
      <w:pPr>
        <w:pStyle w:val="t-9-8"/>
        <w:ind w:firstLine="708"/>
        <w:jc w:val="both"/>
        <w:rPr>
          <w:rFonts w:ascii="Arial" w:hAnsi="Arial" w:cs="Arial"/>
        </w:rPr>
      </w:pPr>
    </w:p>
    <w:p w:rsidR="00281FC4" w:rsidRPr="004C28C4" w:rsidRDefault="00281FC4" w:rsidP="00B87960">
      <w:pPr>
        <w:pStyle w:val="t-9-8"/>
        <w:ind w:firstLine="708"/>
        <w:jc w:val="both"/>
        <w:rPr>
          <w:rFonts w:ascii="Arial" w:hAnsi="Arial" w:cs="Arial"/>
        </w:rPr>
      </w:pPr>
    </w:p>
    <w:p w:rsidR="00E722C9" w:rsidRDefault="00281FC4" w:rsidP="00281FC4">
      <w:pPr>
        <w:pStyle w:val="Naslov3"/>
      </w:pPr>
      <w:bookmarkStart w:id="33" w:name="_Toc507067631"/>
      <w:r>
        <w:lastRenderedPageBreak/>
        <w:t>2.3</w:t>
      </w:r>
      <w:r w:rsidR="00756FDF" w:rsidRPr="00FC6B61">
        <w:t>.</w:t>
      </w:r>
      <w:r w:rsidR="00B0658C">
        <w:t>10</w:t>
      </w:r>
      <w:r w:rsidR="00756FDF" w:rsidRPr="00FC6B61">
        <w:t>.</w:t>
      </w:r>
      <w:r w:rsidR="00756FDF">
        <w:rPr>
          <w:rFonts w:ascii="Times New Roman" w:hAnsi="Times New Roman" w:cs="Times New Roman"/>
        </w:rPr>
        <w:t xml:space="preserve"> </w:t>
      </w:r>
      <w:r w:rsidR="00E722C9" w:rsidRPr="00BE35B9">
        <w:t>Upućivanje na parnicu</w:t>
      </w:r>
      <w:bookmarkEnd w:id="33"/>
    </w:p>
    <w:p w:rsidR="00281FC4" w:rsidRPr="00281FC4" w:rsidRDefault="00281FC4" w:rsidP="00281FC4"/>
    <w:p w:rsidR="00B0658C" w:rsidRDefault="00764E47" w:rsidP="00764E47">
      <w:pPr>
        <w:autoSpaceDE w:val="0"/>
        <w:autoSpaceDN w:val="0"/>
        <w:adjustRightInd w:val="0"/>
        <w:spacing w:before="120" w:after="120" w:line="240" w:lineRule="auto"/>
        <w:jc w:val="both"/>
        <w:rPr>
          <w:rFonts w:ascii="Arial" w:hAnsi="Arial" w:cs="Arial"/>
          <w:sz w:val="24"/>
          <w:szCs w:val="24"/>
        </w:rPr>
      </w:pPr>
      <w:r>
        <w:rPr>
          <w:rFonts w:ascii="Times New Roman" w:hAnsi="Times New Roman" w:cs="Times New Roman"/>
          <w:sz w:val="24"/>
          <w:szCs w:val="24"/>
        </w:rPr>
        <w:tab/>
      </w:r>
      <w:r w:rsidRPr="008910BC">
        <w:rPr>
          <w:rFonts w:ascii="Arial" w:hAnsi="Arial" w:cs="Arial"/>
          <w:sz w:val="24"/>
          <w:szCs w:val="24"/>
          <w:lang w:val="x-none"/>
        </w:rPr>
        <w:t xml:space="preserve">Ako je dužnik osporio tražbinu, </w:t>
      </w:r>
      <w:r w:rsidRPr="008910BC">
        <w:rPr>
          <w:rFonts w:ascii="Arial" w:hAnsi="Arial" w:cs="Arial"/>
          <w:sz w:val="24"/>
          <w:szCs w:val="24"/>
        </w:rPr>
        <w:t xml:space="preserve">a osporavanje nije otklonjeno na ročištu za ispitivanje tražbina, </w:t>
      </w:r>
      <w:r w:rsidRPr="008910BC">
        <w:rPr>
          <w:rFonts w:ascii="Arial" w:hAnsi="Arial" w:cs="Arial"/>
          <w:sz w:val="24"/>
          <w:szCs w:val="24"/>
          <w:lang w:val="x-none"/>
        </w:rPr>
        <w:t>sud će vjerovnika osporene tražbine uputiti na parnicu protiv dužnika radi utvrđivanja osporene tražbine</w:t>
      </w:r>
      <w:r w:rsidR="000E317B" w:rsidRPr="008910BC">
        <w:rPr>
          <w:rStyle w:val="Referencafusnote"/>
          <w:rFonts w:ascii="Arial" w:hAnsi="Arial" w:cs="Arial"/>
          <w:sz w:val="24"/>
          <w:szCs w:val="24"/>
          <w:lang w:val="x-none"/>
        </w:rPr>
        <w:footnoteReference w:id="189"/>
      </w:r>
      <w:r w:rsidRPr="008910BC">
        <w:rPr>
          <w:rFonts w:ascii="Arial" w:hAnsi="Arial" w:cs="Arial"/>
          <w:sz w:val="24"/>
          <w:szCs w:val="24"/>
          <w:lang w:val="x-none"/>
        </w:rPr>
        <w:t>.</w:t>
      </w:r>
      <w:r w:rsidR="001D569F">
        <w:rPr>
          <w:rFonts w:ascii="Arial" w:hAnsi="Arial" w:cs="Arial"/>
          <w:sz w:val="24"/>
          <w:szCs w:val="24"/>
        </w:rPr>
        <w:t xml:space="preserve"> Zakonodavac ne pravi razliku između tražbina za koje vjerovnik ima ovršnu ispravu od tražbina za koje nema ovršnu ispravu pa bi proizlazilo da se uvijek </w:t>
      </w:r>
      <w:r w:rsidR="00FE29CE">
        <w:rPr>
          <w:rFonts w:ascii="Arial" w:hAnsi="Arial" w:cs="Arial"/>
          <w:sz w:val="24"/>
          <w:szCs w:val="24"/>
        </w:rPr>
        <w:t xml:space="preserve">u parnicu </w:t>
      </w:r>
      <w:r w:rsidR="001D569F">
        <w:rPr>
          <w:rFonts w:ascii="Arial" w:hAnsi="Arial" w:cs="Arial"/>
          <w:sz w:val="24"/>
          <w:szCs w:val="24"/>
        </w:rPr>
        <w:t xml:space="preserve">upućuje </w:t>
      </w:r>
      <w:r w:rsidR="00FE29CE">
        <w:rPr>
          <w:rFonts w:ascii="Arial" w:hAnsi="Arial" w:cs="Arial"/>
          <w:sz w:val="24"/>
          <w:szCs w:val="24"/>
        </w:rPr>
        <w:t xml:space="preserve">vjerovnik </w:t>
      </w:r>
      <w:r w:rsidR="001D569F">
        <w:rPr>
          <w:rFonts w:ascii="Arial" w:hAnsi="Arial" w:cs="Arial"/>
          <w:sz w:val="24"/>
          <w:szCs w:val="24"/>
        </w:rPr>
        <w:t xml:space="preserve">ako je tražbinu osporio dužnik. Međutim, vjerovnik koji ima ovršnu ispravu nema pravni interes za utvrđenje tražbine za koju ima ovršnu ispravu. Slijedom toga, sudovi u parnicu upućuju osporavatelja </w:t>
      </w:r>
      <w:r w:rsidR="00B0658C">
        <w:rPr>
          <w:rFonts w:ascii="Arial" w:hAnsi="Arial" w:cs="Arial"/>
          <w:sz w:val="24"/>
          <w:szCs w:val="24"/>
        </w:rPr>
        <w:t xml:space="preserve">dužnika </w:t>
      </w:r>
      <w:r w:rsidR="001D569F">
        <w:rPr>
          <w:rFonts w:ascii="Arial" w:hAnsi="Arial" w:cs="Arial"/>
          <w:sz w:val="24"/>
          <w:szCs w:val="24"/>
        </w:rPr>
        <w:t>da dokaže osnovanost osporavanja tražbine vjerovnika koji za prijavljenu tražbinu ima ovršnu ispravu.</w:t>
      </w:r>
      <w:r w:rsidR="001D569F">
        <w:rPr>
          <w:rStyle w:val="Referencafusnote"/>
          <w:rFonts w:ascii="Arial" w:hAnsi="Arial" w:cs="Arial"/>
          <w:sz w:val="24"/>
          <w:szCs w:val="24"/>
        </w:rPr>
        <w:footnoteReference w:id="190"/>
      </w:r>
    </w:p>
    <w:p w:rsidR="00F02E5C" w:rsidRDefault="00764E47" w:rsidP="00764E47">
      <w:pPr>
        <w:autoSpaceDE w:val="0"/>
        <w:autoSpaceDN w:val="0"/>
        <w:adjustRightInd w:val="0"/>
        <w:spacing w:before="120" w:after="120" w:line="240" w:lineRule="auto"/>
        <w:jc w:val="both"/>
        <w:rPr>
          <w:rFonts w:ascii="Arial" w:hAnsi="Arial" w:cs="Arial"/>
          <w:sz w:val="24"/>
          <w:szCs w:val="24"/>
        </w:rPr>
      </w:pPr>
      <w:r>
        <w:rPr>
          <w:rFonts w:ascii="Times New Roman" w:hAnsi="Times New Roman" w:cs="Times New Roman"/>
          <w:sz w:val="24"/>
          <w:szCs w:val="24"/>
        </w:rPr>
        <w:tab/>
      </w:r>
      <w:r w:rsidRPr="008910BC">
        <w:rPr>
          <w:rFonts w:ascii="Arial" w:hAnsi="Arial" w:cs="Arial"/>
          <w:sz w:val="24"/>
          <w:szCs w:val="24"/>
          <w:lang w:val="x-none"/>
        </w:rPr>
        <w:t xml:space="preserve">Ako je povjerenik osporio tražbinu koju je priznao dužnik, </w:t>
      </w:r>
      <w:r w:rsidRPr="008910BC">
        <w:rPr>
          <w:rFonts w:ascii="Arial" w:hAnsi="Arial" w:cs="Arial"/>
          <w:sz w:val="24"/>
          <w:szCs w:val="24"/>
        </w:rPr>
        <w:t xml:space="preserve">a osporavanje nije otklonjeno na ročištu za ispitivanje tražbina, </w:t>
      </w:r>
      <w:r w:rsidRPr="008910BC">
        <w:rPr>
          <w:rFonts w:ascii="Arial" w:hAnsi="Arial" w:cs="Arial"/>
          <w:sz w:val="24"/>
          <w:szCs w:val="24"/>
          <w:lang w:val="x-none"/>
        </w:rPr>
        <w:t xml:space="preserve">sud će vjerovnika osporene tražbine uputiti na parnicu protiv dužnika radi utvrđivanja osporene tražbine. </w:t>
      </w:r>
      <w:r w:rsidR="00F02E5C">
        <w:rPr>
          <w:rFonts w:ascii="Arial" w:hAnsi="Arial" w:cs="Arial"/>
          <w:sz w:val="24"/>
          <w:szCs w:val="24"/>
        </w:rPr>
        <w:t xml:space="preserve">Ponovno se javlja problem što zakon ne pravi razliku ima li vjerovnik za prijavljenu tražbinu ovršnu ispravu ili nema. </w:t>
      </w:r>
      <w:r w:rsidR="00B974C7" w:rsidRPr="008910BC">
        <w:rPr>
          <w:rFonts w:ascii="Arial" w:hAnsi="Arial" w:cs="Arial"/>
          <w:sz w:val="24"/>
          <w:szCs w:val="24"/>
        </w:rPr>
        <w:t>Vjerovnik može podnijeti tužbu protiv dužnika kojeg na temelju zakona zastupa povjerenik</w:t>
      </w:r>
      <w:r w:rsidR="008664BC" w:rsidRPr="008910BC">
        <w:rPr>
          <w:rStyle w:val="Referencafusnote"/>
          <w:rFonts w:ascii="Arial" w:hAnsi="Arial" w:cs="Arial"/>
          <w:sz w:val="24"/>
          <w:szCs w:val="24"/>
        </w:rPr>
        <w:footnoteReference w:id="191"/>
      </w:r>
      <w:r w:rsidR="00B974C7" w:rsidRPr="008910BC">
        <w:rPr>
          <w:rFonts w:ascii="Arial" w:hAnsi="Arial" w:cs="Arial"/>
          <w:sz w:val="24"/>
          <w:szCs w:val="24"/>
        </w:rPr>
        <w:t>.</w:t>
      </w:r>
      <w:r w:rsidR="00330953" w:rsidRPr="008910BC">
        <w:rPr>
          <w:rFonts w:ascii="Arial" w:hAnsi="Arial" w:cs="Arial"/>
          <w:sz w:val="24"/>
          <w:szCs w:val="24"/>
        </w:rPr>
        <w:t xml:space="preserve"> </w:t>
      </w:r>
      <w:r w:rsidR="008910BC" w:rsidRPr="008910BC">
        <w:rPr>
          <w:rFonts w:ascii="Arial" w:hAnsi="Arial" w:cs="Arial"/>
          <w:sz w:val="24"/>
          <w:szCs w:val="24"/>
          <w:lang w:val="x-none"/>
        </w:rPr>
        <w:t>Povjerenik u takvom postupku nastupa u ime i za račun te na trošak dužnika</w:t>
      </w:r>
      <w:r w:rsidR="008910BC" w:rsidRPr="008910BC">
        <w:rPr>
          <w:rFonts w:ascii="Arial" w:hAnsi="Arial" w:cs="Arial"/>
          <w:sz w:val="24"/>
          <w:szCs w:val="24"/>
        </w:rPr>
        <w:t xml:space="preserve">. </w:t>
      </w:r>
      <w:r w:rsidR="00E25325" w:rsidRPr="008910BC">
        <w:rPr>
          <w:rFonts w:ascii="Arial" w:hAnsi="Arial" w:cs="Arial"/>
          <w:sz w:val="24"/>
          <w:szCs w:val="24"/>
        </w:rPr>
        <w:t xml:space="preserve">Zakonom nije riješeno pitanje troškova postupka </w:t>
      </w:r>
      <w:r w:rsidR="00330953" w:rsidRPr="008910BC">
        <w:rPr>
          <w:rFonts w:ascii="Arial" w:hAnsi="Arial" w:cs="Arial"/>
          <w:sz w:val="24"/>
          <w:szCs w:val="24"/>
        </w:rPr>
        <w:t>za slučaj da vjerovnik osporene tražbine uspije u pa</w:t>
      </w:r>
      <w:r w:rsidR="009B6F97" w:rsidRPr="008910BC">
        <w:rPr>
          <w:rFonts w:ascii="Arial" w:hAnsi="Arial" w:cs="Arial"/>
          <w:sz w:val="24"/>
          <w:szCs w:val="24"/>
        </w:rPr>
        <w:t>rnici radi utvrđivanja tražbine budući da povjerenikovo osporavanje tražbine može prouzročiti ozbiljne troškove dužniku.</w:t>
      </w:r>
      <w:r w:rsidR="00B0658C">
        <w:rPr>
          <w:rFonts w:ascii="Arial" w:hAnsi="Arial" w:cs="Arial"/>
          <w:sz w:val="24"/>
          <w:szCs w:val="24"/>
        </w:rPr>
        <w:t xml:space="preserve"> Međutim, ako vjerovnik ima ovršnu ispravu pravilno bi bilo u parnicu uputiti povjerenika da dokaže osnovanost osporavanja tražbine. U takvoj parnici tužitelj bi bio dužnik </w:t>
      </w:r>
      <w:r w:rsidR="00B0658C" w:rsidRPr="008910BC">
        <w:rPr>
          <w:rFonts w:ascii="Arial" w:hAnsi="Arial" w:cs="Arial"/>
          <w:sz w:val="24"/>
          <w:szCs w:val="24"/>
        </w:rPr>
        <w:t>kojeg na temelju zakona zastupa povjerenik</w:t>
      </w:r>
      <w:r w:rsidR="00B0658C">
        <w:rPr>
          <w:rFonts w:ascii="Arial" w:hAnsi="Arial" w:cs="Arial"/>
          <w:sz w:val="24"/>
          <w:szCs w:val="24"/>
        </w:rPr>
        <w:t>.</w:t>
      </w:r>
    </w:p>
    <w:p w:rsidR="00B0658C" w:rsidRDefault="00764E47" w:rsidP="00764E47">
      <w:pPr>
        <w:autoSpaceDE w:val="0"/>
        <w:autoSpaceDN w:val="0"/>
        <w:adjustRightInd w:val="0"/>
        <w:spacing w:before="120" w:after="120" w:line="240" w:lineRule="auto"/>
        <w:jc w:val="both"/>
        <w:rPr>
          <w:rFonts w:ascii="Arial" w:hAnsi="Arial" w:cs="Arial"/>
          <w:sz w:val="24"/>
          <w:szCs w:val="24"/>
        </w:rPr>
      </w:pPr>
      <w:r w:rsidRPr="008910BC">
        <w:rPr>
          <w:rFonts w:ascii="Arial" w:hAnsi="Arial" w:cs="Arial"/>
          <w:sz w:val="24"/>
          <w:szCs w:val="24"/>
        </w:rPr>
        <w:tab/>
      </w:r>
      <w:r w:rsidRPr="008910BC">
        <w:rPr>
          <w:rFonts w:ascii="Arial" w:hAnsi="Arial" w:cs="Arial"/>
          <w:sz w:val="24"/>
          <w:szCs w:val="24"/>
          <w:lang w:val="x-none"/>
        </w:rPr>
        <w:t xml:space="preserve">Ako je </w:t>
      </w:r>
      <w:r w:rsidR="00330953" w:rsidRPr="008910BC">
        <w:rPr>
          <w:rFonts w:ascii="Arial" w:hAnsi="Arial" w:cs="Arial"/>
          <w:sz w:val="24"/>
          <w:szCs w:val="24"/>
        </w:rPr>
        <w:t xml:space="preserve">koji od </w:t>
      </w:r>
      <w:r w:rsidRPr="008910BC">
        <w:rPr>
          <w:rFonts w:ascii="Arial" w:hAnsi="Arial" w:cs="Arial"/>
          <w:sz w:val="24"/>
          <w:szCs w:val="24"/>
          <w:lang w:val="x-none"/>
        </w:rPr>
        <w:t>vjerovnik</w:t>
      </w:r>
      <w:r w:rsidR="00330953" w:rsidRPr="008910BC">
        <w:rPr>
          <w:rFonts w:ascii="Arial" w:hAnsi="Arial" w:cs="Arial"/>
          <w:sz w:val="24"/>
          <w:szCs w:val="24"/>
        </w:rPr>
        <w:t>a</w:t>
      </w:r>
      <w:r w:rsidRPr="008910BC">
        <w:rPr>
          <w:rFonts w:ascii="Arial" w:hAnsi="Arial" w:cs="Arial"/>
          <w:sz w:val="24"/>
          <w:szCs w:val="24"/>
          <w:lang w:val="x-none"/>
        </w:rPr>
        <w:t xml:space="preserve"> osporio tražbinu koju su priznali dužnik i povjerenik, sud će osporavatelja uputiti na parnicu radi utvrđivanja osporene tražbine.</w:t>
      </w:r>
      <w:r w:rsidRPr="008910BC">
        <w:rPr>
          <w:rFonts w:ascii="Arial" w:hAnsi="Arial" w:cs="Arial"/>
          <w:sz w:val="24"/>
          <w:szCs w:val="24"/>
        </w:rPr>
        <w:t xml:space="preserve"> Pravilno bi bilo uputiti </w:t>
      </w:r>
      <w:r w:rsidR="00B974C7" w:rsidRPr="008910BC">
        <w:rPr>
          <w:rFonts w:ascii="Arial" w:hAnsi="Arial" w:cs="Arial"/>
          <w:sz w:val="24"/>
          <w:szCs w:val="24"/>
        </w:rPr>
        <w:t xml:space="preserve">vjerovnika osporene tražbine u parnicu radi utvrđivanja tražbine ili u parnicu uputiti </w:t>
      </w:r>
      <w:r w:rsidRPr="008910BC">
        <w:rPr>
          <w:rFonts w:ascii="Arial" w:hAnsi="Arial" w:cs="Arial"/>
          <w:sz w:val="24"/>
          <w:szCs w:val="24"/>
        </w:rPr>
        <w:t>osporavatelja radi utvrđivanja osnovanosti njegovog osporavanja tražbine</w:t>
      </w:r>
      <w:r w:rsidR="00DF6492" w:rsidRPr="008910BC">
        <w:rPr>
          <w:rFonts w:ascii="Arial" w:hAnsi="Arial" w:cs="Arial"/>
          <w:sz w:val="24"/>
          <w:szCs w:val="24"/>
        </w:rPr>
        <w:t xml:space="preserve"> ako vjerovnik ima ovršnu ispravu</w:t>
      </w:r>
      <w:r w:rsidRPr="008910BC">
        <w:rPr>
          <w:rFonts w:ascii="Arial" w:hAnsi="Arial" w:cs="Arial"/>
          <w:sz w:val="24"/>
          <w:szCs w:val="24"/>
        </w:rPr>
        <w:t>.</w:t>
      </w:r>
      <w:r w:rsidRPr="008910BC">
        <w:rPr>
          <w:rFonts w:ascii="Arial" w:hAnsi="Arial" w:cs="Arial"/>
          <w:sz w:val="24"/>
          <w:szCs w:val="24"/>
          <w:lang w:val="x-none"/>
        </w:rPr>
        <w:t xml:space="preserve"> </w:t>
      </w:r>
      <w:r w:rsidR="00B974C7" w:rsidRPr="008910BC">
        <w:rPr>
          <w:rFonts w:ascii="Arial" w:hAnsi="Arial" w:cs="Arial"/>
          <w:sz w:val="24"/>
          <w:szCs w:val="24"/>
        </w:rPr>
        <w:t xml:space="preserve">Zakonodavac ne pravi razliku </w:t>
      </w:r>
      <w:r w:rsidR="00092CC4" w:rsidRPr="008910BC">
        <w:rPr>
          <w:rFonts w:ascii="Arial" w:hAnsi="Arial" w:cs="Arial"/>
          <w:sz w:val="24"/>
          <w:szCs w:val="24"/>
        </w:rPr>
        <w:t>između vjerovnika osporen</w:t>
      </w:r>
      <w:r w:rsidR="008910BC">
        <w:rPr>
          <w:rFonts w:ascii="Arial" w:hAnsi="Arial" w:cs="Arial"/>
          <w:sz w:val="24"/>
          <w:szCs w:val="24"/>
        </w:rPr>
        <w:t>e</w:t>
      </w:r>
      <w:r w:rsidR="00092CC4" w:rsidRPr="008910BC">
        <w:rPr>
          <w:rFonts w:ascii="Arial" w:hAnsi="Arial" w:cs="Arial"/>
          <w:sz w:val="24"/>
          <w:szCs w:val="24"/>
        </w:rPr>
        <w:t xml:space="preserve"> tražbin</w:t>
      </w:r>
      <w:r w:rsidR="008910BC">
        <w:rPr>
          <w:rFonts w:ascii="Arial" w:hAnsi="Arial" w:cs="Arial"/>
          <w:sz w:val="24"/>
          <w:szCs w:val="24"/>
        </w:rPr>
        <w:t>e</w:t>
      </w:r>
      <w:r w:rsidR="00092CC4" w:rsidRPr="008910BC">
        <w:rPr>
          <w:rFonts w:ascii="Arial" w:hAnsi="Arial" w:cs="Arial"/>
          <w:sz w:val="24"/>
          <w:szCs w:val="24"/>
        </w:rPr>
        <w:t xml:space="preserve"> </w:t>
      </w:r>
      <w:r w:rsidR="00420EDD" w:rsidRPr="008910BC">
        <w:rPr>
          <w:rFonts w:ascii="Arial" w:hAnsi="Arial" w:cs="Arial"/>
          <w:sz w:val="24"/>
          <w:szCs w:val="24"/>
        </w:rPr>
        <w:t xml:space="preserve">koji svoju tražbinu </w:t>
      </w:r>
      <w:r w:rsidR="00DF6492" w:rsidRPr="008910BC">
        <w:rPr>
          <w:rFonts w:ascii="Arial" w:hAnsi="Arial" w:cs="Arial"/>
          <w:sz w:val="24"/>
          <w:szCs w:val="24"/>
        </w:rPr>
        <w:t>dokazuj</w:t>
      </w:r>
      <w:r w:rsidR="008910BC">
        <w:rPr>
          <w:rFonts w:ascii="Arial" w:hAnsi="Arial" w:cs="Arial"/>
          <w:sz w:val="24"/>
          <w:szCs w:val="24"/>
        </w:rPr>
        <w:t>e</w:t>
      </w:r>
      <w:r w:rsidR="00DF6492" w:rsidRPr="008910BC">
        <w:rPr>
          <w:rFonts w:ascii="Arial" w:hAnsi="Arial" w:cs="Arial"/>
          <w:sz w:val="24"/>
          <w:szCs w:val="24"/>
        </w:rPr>
        <w:t xml:space="preserve"> </w:t>
      </w:r>
      <w:r w:rsidR="00420EDD" w:rsidRPr="008910BC">
        <w:rPr>
          <w:rFonts w:ascii="Arial" w:hAnsi="Arial" w:cs="Arial"/>
          <w:sz w:val="24"/>
          <w:szCs w:val="24"/>
        </w:rPr>
        <w:t>ovršn</w:t>
      </w:r>
      <w:r w:rsidR="00DF6492" w:rsidRPr="008910BC">
        <w:rPr>
          <w:rFonts w:ascii="Arial" w:hAnsi="Arial" w:cs="Arial"/>
          <w:sz w:val="24"/>
          <w:szCs w:val="24"/>
        </w:rPr>
        <w:t>om</w:t>
      </w:r>
      <w:r w:rsidR="00420EDD" w:rsidRPr="008910BC">
        <w:rPr>
          <w:rFonts w:ascii="Arial" w:hAnsi="Arial" w:cs="Arial"/>
          <w:sz w:val="24"/>
          <w:szCs w:val="24"/>
        </w:rPr>
        <w:t xml:space="preserve"> isprav</w:t>
      </w:r>
      <w:r w:rsidR="00DF6492" w:rsidRPr="008910BC">
        <w:rPr>
          <w:rFonts w:ascii="Arial" w:hAnsi="Arial" w:cs="Arial"/>
          <w:sz w:val="24"/>
          <w:szCs w:val="24"/>
        </w:rPr>
        <w:t>om</w:t>
      </w:r>
      <w:r w:rsidR="005F5667" w:rsidRPr="008910BC">
        <w:rPr>
          <w:rFonts w:ascii="Arial" w:hAnsi="Arial" w:cs="Arial"/>
          <w:sz w:val="24"/>
          <w:szCs w:val="24"/>
        </w:rPr>
        <w:t xml:space="preserve"> </w:t>
      </w:r>
      <w:r w:rsidR="00420EDD" w:rsidRPr="008910BC">
        <w:rPr>
          <w:rFonts w:ascii="Arial" w:hAnsi="Arial" w:cs="Arial"/>
          <w:sz w:val="24"/>
          <w:szCs w:val="24"/>
        </w:rPr>
        <w:t>od vjerovnika koji tražbinu dokazuju drugim i</w:t>
      </w:r>
      <w:r w:rsidR="005F5667" w:rsidRPr="008910BC">
        <w:rPr>
          <w:rFonts w:ascii="Arial" w:hAnsi="Arial" w:cs="Arial"/>
          <w:sz w:val="24"/>
          <w:szCs w:val="24"/>
        </w:rPr>
        <w:t xml:space="preserve">spravama </w:t>
      </w:r>
      <w:r w:rsidR="00B974C7" w:rsidRPr="008910BC">
        <w:rPr>
          <w:rFonts w:ascii="Arial" w:hAnsi="Arial" w:cs="Arial"/>
          <w:sz w:val="24"/>
          <w:szCs w:val="24"/>
        </w:rPr>
        <w:t>kao što to čini u stečajnom postupku</w:t>
      </w:r>
      <w:r w:rsidR="00B974C7" w:rsidRPr="008910BC">
        <w:rPr>
          <w:rStyle w:val="Referencafusnote"/>
          <w:rFonts w:ascii="Arial" w:hAnsi="Arial" w:cs="Arial"/>
          <w:sz w:val="24"/>
          <w:szCs w:val="24"/>
        </w:rPr>
        <w:footnoteReference w:id="192"/>
      </w:r>
      <w:r w:rsidR="00092CC4" w:rsidRPr="008910BC">
        <w:rPr>
          <w:rFonts w:ascii="Arial" w:hAnsi="Arial" w:cs="Arial"/>
          <w:sz w:val="24"/>
          <w:szCs w:val="24"/>
        </w:rPr>
        <w:t xml:space="preserve">. </w:t>
      </w:r>
      <w:r w:rsidRPr="008910BC">
        <w:rPr>
          <w:rFonts w:ascii="Arial" w:hAnsi="Arial" w:cs="Arial"/>
          <w:sz w:val="24"/>
          <w:szCs w:val="24"/>
          <w:lang w:val="x-none"/>
        </w:rPr>
        <w:t xml:space="preserve">Osporavatelj </w:t>
      </w:r>
      <w:r w:rsidR="00420EDD" w:rsidRPr="008910BC">
        <w:rPr>
          <w:rFonts w:ascii="Arial" w:hAnsi="Arial" w:cs="Arial"/>
          <w:sz w:val="24"/>
          <w:szCs w:val="24"/>
        </w:rPr>
        <w:t xml:space="preserve">odnosno </w:t>
      </w:r>
      <w:r w:rsidR="00092CC4" w:rsidRPr="008910BC">
        <w:rPr>
          <w:rFonts w:ascii="Arial" w:hAnsi="Arial" w:cs="Arial"/>
          <w:sz w:val="24"/>
          <w:szCs w:val="24"/>
        </w:rPr>
        <w:t xml:space="preserve">vjerovnik koji je osporio tražbinu drugom vjerovniku </w:t>
      </w:r>
      <w:r w:rsidRPr="008910BC">
        <w:rPr>
          <w:rFonts w:ascii="Arial" w:hAnsi="Arial" w:cs="Arial"/>
          <w:sz w:val="24"/>
          <w:szCs w:val="24"/>
          <w:lang w:val="x-none"/>
        </w:rPr>
        <w:t xml:space="preserve">u </w:t>
      </w:r>
      <w:r w:rsidR="00420EDD" w:rsidRPr="008910BC">
        <w:rPr>
          <w:rFonts w:ascii="Arial" w:hAnsi="Arial" w:cs="Arial"/>
          <w:sz w:val="24"/>
          <w:szCs w:val="24"/>
        </w:rPr>
        <w:t>parničnom p</w:t>
      </w:r>
      <w:proofErr w:type="spellStart"/>
      <w:r w:rsidRPr="008910BC">
        <w:rPr>
          <w:rFonts w:ascii="Arial" w:hAnsi="Arial" w:cs="Arial"/>
          <w:sz w:val="24"/>
          <w:szCs w:val="24"/>
          <w:lang w:val="x-none"/>
        </w:rPr>
        <w:t>ostupku</w:t>
      </w:r>
      <w:proofErr w:type="spellEnd"/>
      <w:r w:rsidRPr="008910BC">
        <w:rPr>
          <w:rFonts w:ascii="Arial" w:hAnsi="Arial" w:cs="Arial"/>
          <w:sz w:val="24"/>
          <w:szCs w:val="24"/>
          <w:lang w:val="x-none"/>
        </w:rPr>
        <w:t xml:space="preserve"> nastupa u ime i za račun dužnika</w:t>
      </w:r>
      <w:r w:rsidR="00841382" w:rsidRPr="008910BC">
        <w:rPr>
          <w:rStyle w:val="Referencafusnote"/>
          <w:rFonts w:ascii="Arial" w:hAnsi="Arial" w:cs="Arial"/>
          <w:sz w:val="24"/>
          <w:szCs w:val="24"/>
          <w:lang w:val="x-none"/>
        </w:rPr>
        <w:footnoteReference w:id="193"/>
      </w:r>
      <w:r w:rsidR="00841382" w:rsidRPr="008910BC">
        <w:rPr>
          <w:rFonts w:ascii="Arial" w:hAnsi="Arial" w:cs="Arial"/>
          <w:sz w:val="24"/>
          <w:szCs w:val="24"/>
        </w:rPr>
        <w:t xml:space="preserve">. </w:t>
      </w:r>
      <w:r w:rsidR="00092CC4" w:rsidRPr="008910BC">
        <w:rPr>
          <w:rFonts w:ascii="Arial" w:hAnsi="Arial" w:cs="Arial"/>
          <w:sz w:val="24"/>
          <w:szCs w:val="24"/>
        </w:rPr>
        <w:t>Slijedom toga,</w:t>
      </w:r>
      <w:r w:rsidR="00841382" w:rsidRPr="008910BC">
        <w:rPr>
          <w:rFonts w:ascii="Arial" w:hAnsi="Arial" w:cs="Arial"/>
          <w:sz w:val="24"/>
          <w:szCs w:val="24"/>
        </w:rPr>
        <w:t xml:space="preserve"> vjerovnik osporavatelj </w:t>
      </w:r>
      <w:r w:rsidR="00092CC4" w:rsidRPr="008910BC">
        <w:rPr>
          <w:rFonts w:ascii="Arial" w:hAnsi="Arial" w:cs="Arial"/>
          <w:sz w:val="24"/>
          <w:szCs w:val="24"/>
        </w:rPr>
        <w:t xml:space="preserve">podnosi tužbu u ime i za račun dužnika kojega zastupa na temelju zakona. </w:t>
      </w:r>
      <w:r w:rsidRPr="008910BC">
        <w:rPr>
          <w:rFonts w:ascii="Arial" w:hAnsi="Arial" w:cs="Arial"/>
          <w:sz w:val="24"/>
          <w:szCs w:val="24"/>
          <w:lang w:val="x-none"/>
        </w:rPr>
        <w:t xml:space="preserve">Ako vjerovnik </w:t>
      </w:r>
      <w:r w:rsidR="00D83209" w:rsidRPr="008910BC">
        <w:rPr>
          <w:rFonts w:ascii="Arial" w:hAnsi="Arial" w:cs="Arial"/>
          <w:sz w:val="24"/>
          <w:szCs w:val="24"/>
        </w:rPr>
        <w:t xml:space="preserve">osporavatelj </w:t>
      </w:r>
      <w:r w:rsidRPr="008910BC">
        <w:rPr>
          <w:rFonts w:ascii="Arial" w:hAnsi="Arial" w:cs="Arial"/>
          <w:sz w:val="24"/>
          <w:szCs w:val="24"/>
          <w:lang w:val="x-none"/>
        </w:rPr>
        <w:t>usp</w:t>
      </w:r>
      <w:r w:rsidR="00B974C7" w:rsidRPr="008910BC">
        <w:rPr>
          <w:rFonts w:ascii="Arial" w:hAnsi="Arial" w:cs="Arial"/>
          <w:sz w:val="24"/>
          <w:szCs w:val="24"/>
        </w:rPr>
        <w:t>ije</w:t>
      </w:r>
      <w:r w:rsidRPr="008910BC">
        <w:rPr>
          <w:rFonts w:ascii="Arial" w:hAnsi="Arial" w:cs="Arial"/>
          <w:sz w:val="24"/>
          <w:szCs w:val="24"/>
          <w:lang w:val="x-none"/>
        </w:rPr>
        <w:t xml:space="preserve"> u parnici, ima pravo na dosuđene troškove postupka od protivne stranke i dužnika, a ako ne uspije u parnici, dužan je protivnoj stranci naknaditi troškove</w:t>
      </w:r>
      <w:r w:rsidR="00092CC4" w:rsidRPr="008910BC">
        <w:rPr>
          <w:rFonts w:ascii="Arial" w:hAnsi="Arial" w:cs="Arial"/>
          <w:sz w:val="24"/>
          <w:szCs w:val="24"/>
        </w:rPr>
        <w:t xml:space="preserve"> postupka</w:t>
      </w:r>
      <w:r w:rsidR="00841382" w:rsidRPr="008910BC">
        <w:rPr>
          <w:rStyle w:val="Referencafusnote"/>
          <w:rFonts w:ascii="Arial" w:hAnsi="Arial" w:cs="Arial"/>
          <w:sz w:val="24"/>
          <w:szCs w:val="24"/>
          <w:lang w:val="x-none"/>
        </w:rPr>
        <w:footnoteReference w:id="194"/>
      </w:r>
      <w:r w:rsidRPr="008910BC">
        <w:rPr>
          <w:rFonts w:ascii="Arial" w:hAnsi="Arial" w:cs="Arial"/>
          <w:sz w:val="24"/>
          <w:szCs w:val="24"/>
          <w:lang w:val="x-none"/>
        </w:rPr>
        <w:t>.</w:t>
      </w:r>
      <w:r w:rsidR="008910BC">
        <w:rPr>
          <w:rFonts w:ascii="Arial" w:hAnsi="Arial" w:cs="Arial"/>
          <w:sz w:val="24"/>
          <w:szCs w:val="24"/>
        </w:rPr>
        <w:t xml:space="preserve"> </w:t>
      </w:r>
    </w:p>
    <w:p w:rsidR="00764E47" w:rsidRPr="008910BC" w:rsidRDefault="008910BC" w:rsidP="00B0658C">
      <w:pPr>
        <w:autoSpaceDE w:val="0"/>
        <w:autoSpaceDN w:val="0"/>
        <w:adjustRightInd w:val="0"/>
        <w:spacing w:before="120" w:after="120" w:line="240" w:lineRule="auto"/>
        <w:ind w:firstLine="708"/>
        <w:jc w:val="both"/>
        <w:rPr>
          <w:rFonts w:ascii="Arial" w:hAnsi="Arial" w:cs="Arial"/>
          <w:sz w:val="24"/>
          <w:szCs w:val="24"/>
        </w:rPr>
      </w:pPr>
      <w:r>
        <w:rPr>
          <w:rFonts w:ascii="Arial" w:hAnsi="Arial" w:cs="Arial"/>
          <w:sz w:val="24"/>
          <w:szCs w:val="24"/>
        </w:rPr>
        <w:t xml:space="preserve">Po pitanju upućivanja u parnicu postoje različite odluke. Prvostupanjski sudovi u pravilu u parnicu upućuje vjerovnika čija je tražbina osporena od strane drugog vjerovnika radi utvrđivanja njegove osporene tražbine, a u toj parnici </w:t>
      </w:r>
      <w:r w:rsidR="00FC17B5">
        <w:rPr>
          <w:rFonts w:ascii="Arial" w:hAnsi="Arial" w:cs="Arial"/>
          <w:sz w:val="24"/>
          <w:szCs w:val="24"/>
        </w:rPr>
        <w:t>tuženik je</w:t>
      </w:r>
      <w:r>
        <w:rPr>
          <w:rFonts w:ascii="Arial" w:hAnsi="Arial" w:cs="Arial"/>
          <w:sz w:val="24"/>
          <w:szCs w:val="24"/>
        </w:rPr>
        <w:t xml:space="preserve"> dužnik kojega na temelju zakona zastupa osporavatelj. Ako vjerovnik čija je tražbina osporena ima ovršnu ispravu, u parnicu se upućuje vjerovnik koji je osporio tražbinu radi utvr</w:t>
      </w:r>
      <w:r w:rsidR="00FC17B5">
        <w:rPr>
          <w:rFonts w:ascii="Arial" w:hAnsi="Arial" w:cs="Arial"/>
          <w:sz w:val="24"/>
          <w:szCs w:val="24"/>
        </w:rPr>
        <w:t>đenja osnovanosti njegovog ospo</w:t>
      </w:r>
      <w:r>
        <w:rPr>
          <w:rFonts w:ascii="Arial" w:hAnsi="Arial" w:cs="Arial"/>
          <w:sz w:val="24"/>
          <w:szCs w:val="24"/>
        </w:rPr>
        <w:t xml:space="preserve">ravanja. Međutim, </w:t>
      </w:r>
      <w:r w:rsidR="00500364">
        <w:rPr>
          <w:rFonts w:ascii="Arial" w:hAnsi="Arial" w:cs="Arial"/>
          <w:sz w:val="24"/>
          <w:szCs w:val="24"/>
        </w:rPr>
        <w:t>ima i odluka u kojima je u parnicu upućen vjerovnik koji je osporio tražbinu iako vjerovnik čija je tražbina osporena nema ovršnu ispravu.</w:t>
      </w:r>
      <w:r w:rsidR="00500364">
        <w:rPr>
          <w:rStyle w:val="Referencafusnote"/>
          <w:rFonts w:ascii="Arial" w:hAnsi="Arial" w:cs="Arial"/>
          <w:sz w:val="24"/>
          <w:szCs w:val="24"/>
        </w:rPr>
        <w:footnoteReference w:id="195"/>
      </w:r>
    </w:p>
    <w:p w:rsidR="00756FDF" w:rsidRDefault="00E722C9" w:rsidP="00756FDF">
      <w:pPr>
        <w:autoSpaceDE w:val="0"/>
        <w:autoSpaceDN w:val="0"/>
        <w:adjustRightInd w:val="0"/>
        <w:spacing w:before="120" w:after="120" w:line="240" w:lineRule="auto"/>
        <w:ind w:firstLine="708"/>
        <w:jc w:val="both"/>
        <w:rPr>
          <w:rFonts w:ascii="Arial" w:hAnsi="Arial" w:cs="Arial"/>
          <w:sz w:val="24"/>
          <w:szCs w:val="24"/>
        </w:rPr>
      </w:pPr>
      <w:r w:rsidRPr="008910BC">
        <w:rPr>
          <w:rFonts w:ascii="Arial" w:hAnsi="Arial" w:cs="Arial"/>
          <w:sz w:val="24"/>
          <w:szCs w:val="24"/>
          <w:lang w:val="x-none"/>
        </w:rPr>
        <w:lastRenderedPageBreak/>
        <w:t xml:space="preserve">Postupak radi utvrđivanja osporenih tražbina u </w:t>
      </w:r>
      <w:proofErr w:type="spellStart"/>
      <w:r w:rsidRPr="008910BC">
        <w:rPr>
          <w:rFonts w:ascii="Arial" w:hAnsi="Arial" w:cs="Arial"/>
          <w:sz w:val="24"/>
          <w:szCs w:val="24"/>
          <w:lang w:val="x-none"/>
        </w:rPr>
        <w:t>predstečajnom</w:t>
      </w:r>
      <w:proofErr w:type="spellEnd"/>
      <w:r w:rsidRPr="008910BC">
        <w:rPr>
          <w:rFonts w:ascii="Arial" w:hAnsi="Arial" w:cs="Arial"/>
          <w:sz w:val="24"/>
          <w:szCs w:val="24"/>
          <w:lang w:val="x-none"/>
        </w:rPr>
        <w:t xml:space="preserve"> postupku provodi se odgovarajućom primjenom pravila o postupku radi utvrđivanja osporenih tražbina u stečajnom postupku</w:t>
      </w:r>
      <w:r w:rsidRPr="008910BC">
        <w:rPr>
          <w:rStyle w:val="Referencafusnote"/>
          <w:rFonts w:ascii="Arial" w:hAnsi="Arial" w:cs="Arial"/>
          <w:sz w:val="24"/>
          <w:szCs w:val="24"/>
          <w:lang w:val="x-none"/>
        </w:rPr>
        <w:footnoteReference w:id="196"/>
      </w:r>
      <w:r w:rsidRPr="008910BC">
        <w:rPr>
          <w:rFonts w:ascii="Arial" w:hAnsi="Arial" w:cs="Arial"/>
          <w:sz w:val="24"/>
          <w:szCs w:val="24"/>
          <w:lang w:val="x-none"/>
        </w:rPr>
        <w:t>.</w:t>
      </w:r>
      <w:r w:rsidRPr="008910BC">
        <w:rPr>
          <w:rFonts w:ascii="Arial" w:hAnsi="Arial" w:cs="Arial"/>
          <w:sz w:val="24"/>
          <w:szCs w:val="24"/>
        </w:rPr>
        <w:t xml:space="preserve"> Ako osoba koja je upućena u parnicu ne pokrene parnicu u roku od osam dana od dana pravomoćnosti rješenja o upućivanju u parnicu, odnosno od primitka drugostupanjske odluke, smatrat će se da je odustala od prava na vođenje parnice</w:t>
      </w:r>
      <w:r w:rsidRPr="008910BC">
        <w:rPr>
          <w:rStyle w:val="Referencafusnote"/>
          <w:rFonts w:ascii="Arial" w:hAnsi="Arial" w:cs="Arial"/>
          <w:sz w:val="24"/>
          <w:szCs w:val="24"/>
        </w:rPr>
        <w:footnoteReference w:id="197"/>
      </w:r>
      <w:r w:rsidRPr="008910BC">
        <w:rPr>
          <w:rFonts w:ascii="Arial" w:hAnsi="Arial" w:cs="Arial"/>
          <w:sz w:val="24"/>
          <w:szCs w:val="24"/>
        </w:rPr>
        <w:t>.</w:t>
      </w:r>
    </w:p>
    <w:p w:rsidR="008910BC" w:rsidRPr="008910BC" w:rsidRDefault="008910BC" w:rsidP="00756FDF">
      <w:pPr>
        <w:autoSpaceDE w:val="0"/>
        <w:autoSpaceDN w:val="0"/>
        <w:adjustRightInd w:val="0"/>
        <w:spacing w:before="120" w:after="120" w:line="240" w:lineRule="auto"/>
        <w:ind w:firstLine="708"/>
        <w:jc w:val="both"/>
        <w:rPr>
          <w:rFonts w:ascii="Arial" w:hAnsi="Arial" w:cs="Arial"/>
          <w:sz w:val="24"/>
          <w:szCs w:val="24"/>
        </w:rPr>
      </w:pPr>
    </w:p>
    <w:p w:rsidR="00E722C9" w:rsidRPr="00281FC4" w:rsidRDefault="00281FC4" w:rsidP="00281FC4">
      <w:pPr>
        <w:pStyle w:val="Naslov3"/>
      </w:pPr>
      <w:bookmarkStart w:id="34" w:name="_Toc507067632"/>
      <w:r>
        <w:t xml:space="preserve">2.3.11. </w:t>
      </w:r>
      <w:r w:rsidR="00E722C9" w:rsidRPr="00281FC4">
        <w:t xml:space="preserve">Tablica ispitanih tražbina i </w:t>
      </w:r>
      <w:proofErr w:type="spellStart"/>
      <w:r w:rsidR="00E722C9" w:rsidRPr="00281FC4">
        <w:t>razlučnih</w:t>
      </w:r>
      <w:proofErr w:type="spellEnd"/>
      <w:r w:rsidR="00E722C9" w:rsidRPr="00281FC4">
        <w:t xml:space="preserve"> prava</w:t>
      </w:r>
      <w:bookmarkEnd w:id="34"/>
    </w:p>
    <w:p w:rsidR="00E722C9" w:rsidRDefault="00764E47" w:rsidP="006802BE">
      <w:pPr>
        <w:autoSpaceDE w:val="0"/>
        <w:autoSpaceDN w:val="0"/>
        <w:adjustRightInd w:val="0"/>
        <w:spacing w:before="120" w:after="120" w:line="240" w:lineRule="auto"/>
        <w:jc w:val="both"/>
        <w:rPr>
          <w:rFonts w:ascii="Times New Roman" w:hAnsi="Times New Roman" w:cs="Times New Roman"/>
          <w:sz w:val="24"/>
          <w:szCs w:val="24"/>
        </w:rPr>
      </w:pPr>
      <w:r w:rsidRPr="008910BC">
        <w:rPr>
          <w:rFonts w:ascii="Arial" w:hAnsi="Arial" w:cs="Arial"/>
          <w:sz w:val="24"/>
          <w:szCs w:val="24"/>
        </w:rPr>
        <w:tab/>
      </w:r>
      <w:r w:rsidRPr="008910BC">
        <w:rPr>
          <w:rFonts w:ascii="Arial" w:hAnsi="Arial" w:cs="Arial"/>
          <w:sz w:val="24"/>
          <w:szCs w:val="24"/>
          <w:lang w:val="x-none"/>
        </w:rPr>
        <w:t xml:space="preserve">Na ročištu radi ispitivanja tražbina sud sastavlja tablicu ispitanih tražbina i tablicu </w:t>
      </w:r>
      <w:proofErr w:type="spellStart"/>
      <w:r w:rsidRPr="008910BC">
        <w:rPr>
          <w:rFonts w:ascii="Arial" w:hAnsi="Arial" w:cs="Arial"/>
          <w:sz w:val="24"/>
          <w:szCs w:val="24"/>
          <w:lang w:val="x-none"/>
        </w:rPr>
        <w:t>razlučnih</w:t>
      </w:r>
      <w:proofErr w:type="spellEnd"/>
      <w:r w:rsidRPr="008910BC">
        <w:rPr>
          <w:rFonts w:ascii="Arial" w:hAnsi="Arial" w:cs="Arial"/>
          <w:sz w:val="24"/>
          <w:szCs w:val="24"/>
          <w:lang w:val="x-none"/>
        </w:rPr>
        <w:t xml:space="preserve"> prava. U tablicu ispitanih tražbina za svaku pojedinu tražbinu unosi </w:t>
      </w:r>
      <w:r w:rsidR="008910BC" w:rsidRPr="008910BC">
        <w:rPr>
          <w:rFonts w:ascii="Arial" w:hAnsi="Arial" w:cs="Arial"/>
          <w:sz w:val="24"/>
          <w:szCs w:val="24"/>
        </w:rPr>
        <w:t xml:space="preserve">se </w:t>
      </w:r>
      <w:r w:rsidRPr="008910BC">
        <w:rPr>
          <w:rFonts w:ascii="Arial" w:hAnsi="Arial" w:cs="Arial"/>
          <w:sz w:val="24"/>
          <w:szCs w:val="24"/>
          <w:lang w:val="x-none"/>
        </w:rPr>
        <w:t xml:space="preserve">u kojem iznosu je utvrđena, odnosno osporena, uz obveznu naznaku razloga osporavanja. U tablicu </w:t>
      </w:r>
      <w:proofErr w:type="spellStart"/>
      <w:r w:rsidRPr="008910BC">
        <w:rPr>
          <w:rFonts w:ascii="Arial" w:hAnsi="Arial" w:cs="Arial"/>
          <w:sz w:val="24"/>
          <w:szCs w:val="24"/>
          <w:lang w:val="x-none"/>
        </w:rPr>
        <w:t>razlučnih</w:t>
      </w:r>
      <w:proofErr w:type="spellEnd"/>
      <w:r w:rsidRPr="008910BC">
        <w:rPr>
          <w:rFonts w:ascii="Arial" w:hAnsi="Arial" w:cs="Arial"/>
          <w:sz w:val="24"/>
          <w:szCs w:val="24"/>
          <w:lang w:val="x-none"/>
        </w:rPr>
        <w:t xml:space="preserve"> prava unose se tražbine </w:t>
      </w:r>
      <w:proofErr w:type="spellStart"/>
      <w:r w:rsidRPr="008910BC">
        <w:rPr>
          <w:rFonts w:ascii="Arial" w:hAnsi="Arial" w:cs="Arial"/>
          <w:sz w:val="24"/>
          <w:szCs w:val="24"/>
          <w:lang w:val="x-none"/>
        </w:rPr>
        <w:t>razlučnih</w:t>
      </w:r>
      <w:proofErr w:type="spellEnd"/>
      <w:r w:rsidRPr="008910BC">
        <w:rPr>
          <w:rFonts w:ascii="Arial" w:hAnsi="Arial" w:cs="Arial"/>
          <w:sz w:val="24"/>
          <w:szCs w:val="24"/>
          <w:lang w:val="x-none"/>
        </w:rPr>
        <w:t xml:space="preserve"> vjerovnika ako plan restrukturiranja zadire u njihova prava</w:t>
      </w:r>
      <w:r w:rsidR="00057512" w:rsidRPr="008910BC">
        <w:rPr>
          <w:rStyle w:val="Referencafusnote"/>
          <w:rFonts w:ascii="Arial" w:hAnsi="Arial" w:cs="Arial"/>
          <w:sz w:val="24"/>
          <w:szCs w:val="24"/>
          <w:lang w:val="x-none"/>
        </w:rPr>
        <w:footnoteReference w:id="198"/>
      </w:r>
      <w:r w:rsidRPr="008910BC">
        <w:rPr>
          <w:rFonts w:ascii="Arial" w:hAnsi="Arial" w:cs="Arial"/>
          <w:sz w:val="24"/>
          <w:szCs w:val="24"/>
        </w:rPr>
        <w:t xml:space="preserve">. Ako plan restrukturiranja ne zadire u prava </w:t>
      </w:r>
      <w:proofErr w:type="spellStart"/>
      <w:r w:rsidRPr="008910BC">
        <w:rPr>
          <w:rFonts w:ascii="Arial" w:hAnsi="Arial" w:cs="Arial"/>
          <w:sz w:val="24"/>
          <w:szCs w:val="24"/>
        </w:rPr>
        <w:t>razlučnih</w:t>
      </w:r>
      <w:proofErr w:type="spellEnd"/>
      <w:r w:rsidRPr="008910BC">
        <w:rPr>
          <w:rFonts w:ascii="Arial" w:hAnsi="Arial" w:cs="Arial"/>
          <w:sz w:val="24"/>
          <w:szCs w:val="24"/>
        </w:rPr>
        <w:t xml:space="preserve"> vjerovnik u tablicu se ne unose tražbine </w:t>
      </w:r>
      <w:proofErr w:type="spellStart"/>
      <w:r w:rsidRPr="008910BC">
        <w:rPr>
          <w:rFonts w:ascii="Arial" w:hAnsi="Arial" w:cs="Arial"/>
          <w:sz w:val="24"/>
          <w:szCs w:val="24"/>
        </w:rPr>
        <w:t>razlučnih</w:t>
      </w:r>
      <w:proofErr w:type="spellEnd"/>
      <w:r w:rsidRPr="008910BC">
        <w:rPr>
          <w:rFonts w:ascii="Arial" w:hAnsi="Arial" w:cs="Arial"/>
          <w:sz w:val="24"/>
          <w:szCs w:val="24"/>
        </w:rPr>
        <w:t xml:space="preserve"> vjerovnika već samo njihova </w:t>
      </w:r>
      <w:proofErr w:type="spellStart"/>
      <w:r w:rsidRPr="008910BC">
        <w:rPr>
          <w:rFonts w:ascii="Arial" w:hAnsi="Arial" w:cs="Arial"/>
          <w:sz w:val="24"/>
          <w:szCs w:val="24"/>
        </w:rPr>
        <w:t>razlučna</w:t>
      </w:r>
      <w:proofErr w:type="spellEnd"/>
      <w:r w:rsidRPr="008910BC">
        <w:rPr>
          <w:rFonts w:ascii="Arial" w:hAnsi="Arial" w:cs="Arial"/>
          <w:sz w:val="24"/>
          <w:szCs w:val="24"/>
        </w:rPr>
        <w:t xml:space="preserve"> prava </w:t>
      </w:r>
      <w:r w:rsidR="00B47663" w:rsidRPr="008910BC">
        <w:rPr>
          <w:rFonts w:ascii="Arial" w:hAnsi="Arial" w:cs="Arial"/>
          <w:sz w:val="24"/>
          <w:szCs w:val="24"/>
        </w:rPr>
        <w:t xml:space="preserve">i imovina na kojoj imaju </w:t>
      </w:r>
      <w:proofErr w:type="spellStart"/>
      <w:r w:rsidR="00B47663" w:rsidRPr="008910BC">
        <w:rPr>
          <w:rFonts w:ascii="Arial" w:hAnsi="Arial" w:cs="Arial"/>
          <w:sz w:val="24"/>
          <w:szCs w:val="24"/>
        </w:rPr>
        <w:t>razlučno</w:t>
      </w:r>
      <w:proofErr w:type="spellEnd"/>
      <w:r w:rsidR="00B47663" w:rsidRPr="008910BC">
        <w:rPr>
          <w:rFonts w:ascii="Arial" w:hAnsi="Arial" w:cs="Arial"/>
          <w:sz w:val="24"/>
          <w:szCs w:val="24"/>
        </w:rPr>
        <w:t xml:space="preserve"> pravo</w:t>
      </w:r>
      <w:r w:rsidR="00B47663">
        <w:rPr>
          <w:rFonts w:ascii="Times New Roman" w:hAnsi="Times New Roman" w:cs="Times New Roman"/>
          <w:sz w:val="24"/>
          <w:szCs w:val="24"/>
        </w:rPr>
        <w:t>.</w:t>
      </w:r>
      <w:r w:rsidR="00D83209">
        <w:rPr>
          <w:rFonts w:ascii="Times New Roman" w:hAnsi="Times New Roman" w:cs="Times New Roman"/>
          <w:sz w:val="24"/>
          <w:szCs w:val="24"/>
        </w:rPr>
        <w:t xml:space="preserve"> </w:t>
      </w:r>
    </w:p>
    <w:p w:rsidR="008910BC" w:rsidRDefault="008910BC" w:rsidP="006802BE">
      <w:pPr>
        <w:autoSpaceDE w:val="0"/>
        <w:autoSpaceDN w:val="0"/>
        <w:adjustRightInd w:val="0"/>
        <w:spacing w:before="120" w:after="120" w:line="240" w:lineRule="auto"/>
        <w:jc w:val="both"/>
        <w:rPr>
          <w:rFonts w:ascii="Times New Roman" w:hAnsi="Times New Roman" w:cs="Times New Roman"/>
          <w:sz w:val="24"/>
          <w:szCs w:val="24"/>
        </w:rPr>
      </w:pPr>
    </w:p>
    <w:p w:rsidR="00843057" w:rsidRDefault="00281FC4" w:rsidP="00281FC4">
      <w:pPr>
        <w:pStyle w:val="Naslov3"/>
      </w:pPr>
      <w:bookmarkStart w:id="35" w:name="_Toc507067633"/>
      <w:r>
        <w:t xml:space="preserve">2.3.12. </w:t>
      </w:r>
      <w:r w:rsidR="00843057" w:rsidRPr="00281FC4">
        <w:t>Rješenje o utvrđenim tražbinama</w:t>
      </w:r>
      <w:bookmarkEnd w:id="35"/>
    </w:p>
    <w:p w:rsidR="00281FC4" w:rsidRPr="00281FC4" w:rsidRDefault="00281FC4" w:rsidP="00281FC4"/>
    <w:p w:rsidR="00251750" w:rsidRPr="008910BC" w:rsidRDefault="00B47663" w:rsidP="00251750">
      <w:pPr>
        <w:autoSpaceDE w:val="0"/>
        <w:autoSpaceDN w:val="0"/>
        <w:adjustRightInd w:val="0"/>
        <w:spacing w:before="120" w:after="120" w:line="240" w:lineRule="auto"/>
        <w:jc w:val="both"/>
        <w:rPr>
          <w:rFonts w:ascii="Arial" w:hAnsi="Arial" w:cs="Arial"/>
          <w:sz w:val="24"/>
          <w:szCs w:val="24"/>
          <w:lang w:val="x-none"/>
        </w:rPr>
      </w:pPr>
      <w:r w:rsidRPr="008910BC">
        <w:rPr>
          <w:rFonts w:ascii="Arial" w:hAnsi="Arial" w:cs="Arial"/>
          <w:sz w:val="24"/>
          <w:szCs w:val="24"/>
        </w:rPr>
        <w:tab/>
      </w:r>
      <w:r w:rsidR="00764E47" w:rsidRPr="008910BC">
        <w:rPr>
          <w:rFonts w:ascii="Arial" w:hAnsi="Arial" w:cs="Arial"/>
          <w:sz w:val="24"/>
          <w:szCs w:val="24"/>
          <w:lang w:val="x-none"/>
        </w:rPr>
        <w:t>Na temelju tablice ispitanih tražbina sud donosi rješenje o utvrđenim i osporenim tražbinama, uz obveznu naznaku razloga osporavanja</w:t>
      </w:r>
      <w:r w:rsidR="00057512" w:rsidRPr="008910BC">
        <w:rPr>
          <w:rStyle w:val="Referencafusnote"/>
          <w:rFonts w:ascii="Arial" w:hAnsi="Arial" w:cs="Arial"/>
          <w:sz w:val="24"/>
          <w:szCs w:val="24"/>
          <w:lang w:val="x-none"/>
        </w:rPr>
        <w:footnoteReference w:id="199"/>
      </w:r>
      <w:r w:rsidR="00764E47" w:rsidRPr="008910BC">
        <w:rPr>
          <w:rFonts w:ascii="Arial" w:hAnsi="Arial" w:cs="Arial"/>
          <w:sz w:val="24"/>
          <w:szCs w:val="24"/>
          <w:lang w:val="x-none"/>
        </w:rPr>
        <w:t xml:space="preserve">. </w:t>
      </w:r>
      <w:r w:rsidR="00843057" w:rsidRPr="008910BC">
        <w:rPr>
          <w:rFonts w:ascii="Arial" w:hAnsi="Arial" w:cs="Arial"/>
          <w:sz w:val="24"/>
          <w:szCs w:val="24"/>
        </w:rPr>
        <w:t xml:space="preserve">Sud će </w:t>
      </w:r>
      <w:r w:rsidRPr="008910BC">
        <w:rPr>
          <w:rFonts w:ascii="Arial" w:hAnsi="Arial" w:cs="Arial"/>
          <w:sz w:val="24"/>
          <w:szCs w:val="24"/>
        </w:rPr>
        <w:t>r</w:t>
      </w:r>
      <w:proofErr w:type="spellStart"/>
      <w:r w:rsidR="00843057" w:rsidRPr="008910BC">
        <w:rPr>
          <w:rFonts w:ascii="Arial" w:hAnsi="Arial" w:cs="Arial"/>
          <w:sz w:val="24"/>
          <w:szCs w:val="24"/>
          <w:lang w:val="x-none"/>
        </w:rPr>
        <w:t>ješenjem</w:t>
      </w:r>
      <w:proofErr w:type="spellEnd"/>
      <w:r w:rsidR="00843057" w:rsidRPr="008910BC">
        <w:rPr>
          <w:rFonts w:ascii="Arial" w:hAnsi="Arial" w:cs="Arial"/>
          <w:sz w:val="24"/>
          <w:szCs w:val="24"/>
          <w:lang w:val="x-none"/>
        </w:rPr>
        <w:t xml:space="preserve"> </w:t>
      </w:r>
      <w:r w:rsidR="00764E47" w:rsidRPr="008910BC">
        <w:rPr>
          <w:rFonts w:ascii="Arial" w:hAnsi="Arial" w:cs="Arial"/>
          <w:sz w:val="24"/>
          <w:szCs w:val="24"/>
          <w:lang w:val="x-none"/>
        </w:rPr>
        <w:t xml:space="preserve">odlučiti o upućivanju na parnicu radi </w:t>
      </w:r>
      <w:r w:rsidR="00D83209" w:rsidRPr="008910BC">
        <w:rPr>
          <w:rFonts w:ascii="Arial" w:hAnsi="Arial" w:cs="Arial"/>
          <w:sz w:val="24"/>
          <w:szCs w:val="24"/>
        </w:rPr>
        <w:t xml:space="preserve">utvrđivanja odnosno </w:t>
      </w:r>
      <w:r w:rsidR="00764E47" w:rsidRPr="008910BC">
        <w:rPr>
          <w:rFonts w:ascii="Arial" w:hAnsi="Arial" w:cs="Arial"/>
          <w:sz w:val="24"/>
          <w:szCs w:val="24"/>
          <w:lang w:val="x-none"/>
        </w:rPr>
        <w:t>osporavanja tražbine</w:t>
      </w:r>
      <w:r w:rsidRPr="008910BC">
        <w:rPr>
          <w:rStyle w:val="Referencafusnote"/>
          <w:rFonts w:ascii="Arial" w:hAnsi="Arial" w:cs="Arial"/>
          <w:sz w:val="24"/>
          <w:szCs w:val="24"/>
          <w:lang w:val="x-none"/>
        </w:rPr>
        <w:footnoteReference w:id="200"/>
      </w:r>
      <w:r w:rsidR="00764E47" w:rsidRPr="008910BC">
        <w:rPr>
          <w:rFonts w:ascii="Arial" w:hAnsi="Arial" w:cs="Arial"/>
          <w:sz w:val="24"/>
          <w:szCs w:val="24"/>
          <w:lang w:val="x-none"/>
        </w:rPr>
        <w:t>.</w:t>
      </w:r>
      <w:r w:rsidRPr="008910BC">
        <w:rPr>
          <w:rFonts w:ascii="Arial" w:hAnsi="Arial" w:cs="Arial"/>
          <w:sz w:val="24"/>
          <w:szCs w:val="24"/>
        </w:rPr>
        <w:t xml:space="preserve"> </w:t>
      </w:r>
      <w:r w:rsidR="00251750" w:rsidRPr="008910BC">
        <w:rPr>
          <w:rFonts w:ascii="Arial" w:hAnsi="Arial" w:cs="Arial"/>
          <w:sz w:val="24"/>
          <w:szCs w:val="24"/>
          <w:lang w:val="x-none"/>
        </w:rPr>
        <w:t>Rješenje o utvrđenim i osporenim tražbinama</w:t>
      </w:r>
      <w:r w:rsidR="00251750" w:rsidRPr="008910BC">
        <w:rPr>
          <w:rFonts w:ascii="Arial" w:hAnsi="Arial" w:cs="Arial"/>
          <w:sz w:val="24"/>
          <w:szCs w:val="24"/>
        </w:rPr>
        <w:t xml:space="preserve"> se </w:t>
      </w:r>
      <w:r w:rsidR="00251750" w:rsidRPr="008910BC">
        <w:rPr>
          <w:rFonts w:ascii="Arial" w:hAnsi="Arial" w:cs="Arial"/>
          <w:sz w:val="24"/>
          <w:szCs w:val="24"/>
          <w:lang w:val="x-none"/>
        </w:rPr>
        <w:t>objav</w:t>
      </w:r>
      <w:r w:rsidR="00251750" w:rsidRPr="008910BC">
        <w:rPr>
          <w:rFonts w:ascii="Arial" w:hAnsi="Arial" w:cs="Arial"/>
          <w:sz w:val="24"/>
          <w:szCs w:val="24"/>
        </w:rPr>
        <w:t xml:space="preserve">ljuje </w:t>
      </w:r>
      <w:r w:rsidR="00251750" w:rsidRPr="008910BC">
        <w:rPr>
          <w:rFonts w:ascii="Arial" w:hAnsi="Arial" w:cs="Arial"/>
          <w:sz w:val="24"/>
          <w:szCs w:val="24"/>
          <w:lang w:val="x-none"/>
        </w:rPr>
        <w:t>na mrežnoj stranici e-Oglasna ploča sudova.</w:t>
      </w:r>
    </w:p>
    <w:p w:rsidR="005F5667" w:rsidRPr="008910BC" w:rsidRDefault="00B47663" w:rsidP="00764E47">
      <w:pPr>
        <w:autoSpaceDE w:val="0"/>
        <w:autoSpaceDN w:val="0"/>
        <w:adjustRightInd w:val="0"/>
        <w:spacing w:before="120" w:after="120" w:line="240" w:lineRule="auto"/>
        <w:jc w:val="both"/>
        <w:rPr>
          <w:rFonts w:ascii="Arial" w:hAnsi="Arial" w:cs="Arial"/>
          <w:sz w:val="24"/>
          <w:szCs w:val="24"/>
        </w:rPr>
      </w:pPr>
      <w:r w:rsidRPr="008910BC">
        <w:rPr>
          <w:rFonts w:ascii="Arial" w:hAnsi="Arial" w:cs="Arial"/>
          <w:sz w:val="24"/>
          <w:szCs w:val="24"/>
        </w:rPr>
        <w:tab/>
      </w:r>
      <w:r w:rsidR="00764E47" w:rsidRPr="008910BC">
        <w:rPr>
          <w:rFonts w:ascii="Arial" w:hAnsi="Arial" w:cs="Arial"/>
          <w:sz w:val="24"/>
          <w:szCs w:val="24"/>
          <w:lang w:val="x-none"/>
        </w:rPr>
        <w:t xml:space="preserve">Pravo na žalbu protiv rješenja o utvrđenim i osporenim tražbinama ima dužnik i svaki vjerovnik u dijelu koji se odnosi na njegovu prijavljenu tražbinu i tražbinu koju je osporio. </w:t>
      </w:r>
      <w:r w:rsidR="005F5667" w:rsidRPr="008910BC">
        <w:rPr>
          <w:rFonts w:ascii="Arial" w:hAnsi="Arial" w:cs="Arial"/>
          <w:sz w:val="24"/>
          <w:szCs w:val="24"/>
        </w:rPr>
        <w:t xml:space="preserve">Može li vjerovnik </w:t>
      </w:r>
      <w:r w:rsidR="006802BE" w:rsidRPr="008910BC">
        <w:rPr>
          <w:rFonts w:ascii="Arial" w:hAnsi="Arial" w:cs="Arial"/>
          <w:sz w:val="24"/>
          <w:szCs w:val="24"/>
        </w:rPr>
        <w:t>čija je tražbina priznata</w:t>
      </w:r>
      <w:r w:rsidR="00B03254">
        <w:rPr>
          <w:rFonts w:ascii="Arial" w:hAnsi="Arial" w:cs="Arial"/>
          <w:sz w:val="24"/>
          <w:szCs w:val="24"/>
        </w:rPr>
        <w:t>,</w:t>
      </w:r>
      <w:r w:rsidR="006802BE" w:rsidRPr="008910BC">
        <w:rPr>
          <w:rFonts w:ascii="Arial" w:hAnsi="Arial" w:cs="Arial"/>
          <w:sz w:val="24"/>
          <w:szCs w:val="24"/>
        </w:rPr>
        <w:t xml:space="preserve"> žalbom </w:t>
      </w:r>
      <w:r w:rsidR="005F5667" w:rsidRPr="008910BC">
        <w:rPr>
          <w:rFonts w:ascii="Arial" w:hAnsi="Arial" w:cs="Arial"/>
          <w:sz w:val="24"/>
          <w:szCs w:val="24"/>
        </w:rPr>
        <w:t xml:space="preserve">osporavati </w:t>
      </w:r>
      <w:r w:rsidR="006802BE" w:rsidRPr="008910BC">
        <w:rPr>
          <w:rFonts w:ascii="Arial" w:hAnsi="Arial" w:cs="Arial"/>
          <w:sz w:val="24"/>
          <w:szCs w:val="24"/>
        </w:rPr>
        <w:t>rješenje o utvrđenim i osporenim tražbinama u dijelu svoje tražbine (na primjer iz razloga što je tražbina priznata</w:t>
      </w:r>
      <w:r w:rsidR="005F5667" w:rsidRPr="008910BC">
        <w:rPr>
          <w:rFonts w:ascii="Arial" w:hAnsi="Arial" w:cs="Arial"/>
          <w:sz w:val="24"/>
          <w:szCs w:val="24"/>
        </w:rPr>
        <w:t xml:space="preserve"> u v</w:t>
      </w:r>
      <w:r w:rsidR="00330953" w:rsidRPr="008910BC">
        <w:rPr>
          <w:rFonts w:ascii="Arial" w:hAnsi="Arial" w:cs="Arial"/>
          <w:sz w:val="24"/>
          <w:szCs w:val="24"/>
        </w:rPr>
        <w:t>ećem</w:t>
      </w:r>
      <w:r w:rsidR="005F5667" w:rsidRPr="008910BC">
        <w:rPr>
          <w:rFonts w:ascii="Arial" w:hAnsi="Arial" w:cs="Arial"/>
          <w:sz w:val="24"/>
          <w:szCs w:val="24"/>
        </w:rPr>
        <w:t xml:space="preserve"> iznosu od iznosa tražbine koji je </w:t>
      </w:r>
      <w:r w:rsidR="006802BE" w:rsidRPr="008910BC">
        <w:rPr>
          <w:rFonts w:ascii="Arial" w:hAnsi="Arial" w:cs="Arial"/>
          <w:sz w:val="24"/>
          <w:szCs w:val="24"/>
        </w:rPr>
        <w:t xml:space="preserve">vjerovnik </w:t>
      </w:r>
      <w:r w:rsidR="005F5667" w:rsidRPr="008910BC">
        <w:rPr>
          <w:rFonts w:ascii="Arial" w:hAnsi="Arial" w:cs="Arial"/>
          <w:sz w:val="24"/>
          <w:szCs w:val="24"/>
        </w:rPr>
        <w:t xml:space="preserve">prijavio u </w:t>
      </w:r>
      <w:proofErr w:type="spellStart"/>
      <w:r w:rsidR="005F5667" w:rsidRPr="008910BC">
        <w:rPr>
          <w:rFonts w:ascii="Arial" w:hAnsi="Arial" w:cs="Arial"/>
          <w:sz w:val="24"/>
          <w:szCs w:val="24"/>
        </w:rPr>
        <w:t>predstečajnom</w:t>
      </w:r>
      <w:proofErr w:type="spellEnd"/>
      <w:r w:rsidR="005F5667" w:rsidRPr="008910BC">
        <w:rPr>
          <w:rFonts w:ascii="Arial" w:hAnsi="Arial" w:cs="Arial"/>
          <w:sz w:val="24"/>
          <w:szCs w:val="24"/>
        </w:rPr>
        <w:t xml:space="preserve"> postupku</w:t>
      </w:r>
      <w:r w:rsidR="006802BE" w:rsidRPr="008910BC">
        <w:rPr>
          <w:rFonts w:ascii="Arial" w:hAnsi="Arial" w:cs="Arial"/>
          <w:sz w:val="24"/>
          <w:szCs w:val="24"/>
        </w:rPr>
        <w:t>)</w:t>
      </w:r>
      <w:r w:rsidR="005F5667" w:rsidRPr="008910BC">
        <w:rPr>
          <w:rFonts w:ascii="Arial" w:hAnsi="Arial" w:cs="Arial"/>
          <w:sz w:val="24"/>
          <w:szCs w:val="24"/>
        </w:rPr>
        <w:t>. Imajući u vidu pojam vjerovnika i pravne posljedice potvr</w:t>
      </w:r>
      <w:r w:rsidR="00843057" w:rsidRPr="008910BC">
        <w:rPr>
          <w:rFonts w:ascii="Arial" w:hAnsi="Arial" w:cs="Arial"/>
          <w:sz w:val="24"/>
          <w:szCs w:val="24"/>
        </w:rPr>
        <w:t>đenog</w:t>
      </w:r>
      <w:r w:rsidR="005F5667" w:rsidRPr="008910BC">
        <w:rPr>
          <w:rFonts w:ascii="Arial" w:hAnsi="Arial" w:cs="Arial"/>
          <w:sz w:val="24"/>
          <w:szCs w:val="24"/>
        </w:rPr>
        <w:t xml:space="preserve"> </w:t>
      </w:r>
      <w:proofErr w:type="spellStart"/>
      <w:r w:rsidR="005F5667" w:rsidRPr="008910BC">
        <w:rPr>
          <w:rFonts w:ascii="Arial" w:hAnsi="Arial" w:cs="Arial"/>
          <w:sz w:val="24"/>
          <w:szCs w:val="24"/>
        </w:rPr>
        <w:t>predstečajnog</w:t>
      </w:r>
      <w:proofErr w:type="spellEnd"/>
      <w:r w:rsidR="005F5667" w:rsidRPr="008910BC">
        <w:rPr>
          <w:rFonts w:ascii="Arial" w:hAnsi="Arial" w:cs="Arial"/>
          <w:sz w:val="24"/>
          <w:szCs w:val="24"/>
        </w:rPr>
        <w:t xml:space="preserve"> sporazuma</w:t>
      </w:r>
      <w:r w:rsidR="009B6F97" w:rsidRPr="008910BC">
        <w:rPr>
          <w:rFonts w:ascii="Arial" w:hAnsi="Arial" w:cs="Arial"/>
          <w:sz w:val="24"/>
          <w:szCs w:val="24"/>
        </w:rPr>
        <w:t xml:space="preserve">, </w:t>
      </w:r>
      <w:r w:rsidR="005F5667" w:rsidRPr="008910BC">
        <w:rPr>
          <w:rFonts w:ascii="Arial" w:hAnsi="Arial" w:cs="Arial"/>
          <w:sz w:val="24"/>
          <w:szCs w:val="24"/>
        </w:rPr>
        <w:t>vjerovnik</w:t>
      </w:r>
      <w:r w:rsidR="00843057" w:rsidRPr="008910BC">
        <w:rPr>
          <w:rFonts w:ascii="Arial" w:hAnsi="Arial" w:cs="Arial"/>
          <w:sz w:val="24"/>
          <w:szCs w:val="24"/>
        </w:rPr>
        <w:t>u</w:t>
      </w:r>
      <w:r w:rsidR="005F5667" w:rsidRPr="008910BC">
        <w:rPr>
          <w:rFonts w:ascii="Arial" w:hAnsi="Arial" w:cs="Arial"/>
          <w:sz w:val="24"/>
          <w:szCs w:val="24"/>
        </w:rPr>
        <w:t xml:space="preserve"> </w:t>
      </w:r>
      <w:r w:rsidR="00843057" w:rsidRPr="008910BC">
        <w:rPr>
          <w:rFonts w:ascii="Arial" w:hAnsi="Arial" w:cs="Arial"/>
          <w:sz w:val="24"/>
          <w:szCs w:val="24"/>
        </w:rPr>
        <w:t>treba priznati pravo pobijati</w:t>
      </w:r>
      <w:r w:rsidR="005F5667" w:rsidRPr="008910BC">
        <w:rPr>
          <w:rFonts w:ascii="Arial" w:hAnsi="Arial" w:cs="Arial"/>
          <w:sz w:val="24"/>
          <w:szCs w:val="24"/>
        </w:rPr>
        <w:t xml:space="preserve"> rješenje o utvrđenim tražbinama u dijelu </w:t>
      </w:r>
      <w:r w:rsidR="00D83209" w:rsidRPr="008910BC">
        <w:rPr>
          <w:rFonts w:ascii="Arial" w:hAnsi="Arial" w:cs="Arial"/>
          <w:sz w:val="24"/>
          <w:szCs w:val="24"/>
        </w:rPr>
        <w:t xml:space="preserve">njegove </w:t>
      </w:r>
      <w:r w:rsidR="005F5667" w:rsidRPr="008910BC">
        <w:rPr>
          <w:rFonts w:ascii="Arial" w:hAnsi="Arial" w:cs="Arial"/>
          <w:sz w:val="24"/>
          <w:szCs w:val="24"/>
        </w:rPr>
        <w:t>tražbin</w:t>
      </w:r>
      <w:r w:rsidR="008664BC" w:rsidRPr="008910BC">
        <w:rPr>
          <w:rFonts w:ascii="Arial" w:hAnsi="Arial" w:cs="Arial"/>
          <w:sz w:val="24"/>
          <w:szCs w:val="24"/>
        </w:rPr>
        <w:t>e</w:t>
      </w:r>
      <w:r w:rsidR="005F5667" w:rsidRPr="008910BC">
        <w:rPr>
          <w:rFonts w:ascii="Arial" w:hAnsi="Arial" w:cs="Arial"/>
          <w:sz w:val="24"/>
          <w:szCs w:val="24"/>
        </w:rPr>
        <w:t xml:space="preserve"> koja je priznata u v</w:t>
      </w:r>
      <w:r w:rsidR="00330953" w:rsidRPr="008910BC">
        <w:rPr>
          <w:rFonts w:ascii="Arial" w:hAnsi="Arial" w:cs="Arial"/>
          <w:sz w:val="24"/>
          <w:szCs w:val="24"/>
        </w:rPr>
        <w:t>ećem</w:t>
      </w:r>
      <w:r w:rsidR="005F5667" w:rsidRPr="008910BC">
        <w:rPr>
          <w:rFonts w:ascii="Arial" w:hAnsi="Arial" w:cs="Arial"/>
          <w:sz w:val="24"/>
          <w:szCs w:val="24"/>
        </w:rPr>
        <w:t xml:space="preserve"> iznosu</w:t>
      </w:r>
      <w:r w:rsidR="00843057" w:rsidRPr="008910BC">
        <w:rPr>
          <w:rStyle w:val="Referencafusnote"/>
          <w:rFonts w:ascii="Arial" w:hAnsi="Arial" w:cs="Arial"/>
          <w:sz w:val="24"/>
          <w:szCs w:val="24"/>
        </w:rPr>
        <w:footnoteReference w:id="201"/>
      </w:r>
      <w:r w:rsidR="00D83209" w:rsidRPr="008910BC">
        <w:rPr>
          <w:rFonts w:ascii="Arial" w:hAnsi="Arial" w:cs="Arial"/>
          <w:sz w:val="24"/>
          <w:szCs w:val="24"/>
        </w:rPr>
        <w:t xml:space="preserve"> od iznosa </w:t>
      </w:r>
      <w:r w:rsidR="009D01A9" w:rsidRPr="008910BC">
        <w:rPr>
          <w:rFonts w:ascii="Arial" w:hAnsi="Arial" w:cs="Arial"/>
          <w:sz w:val="24"/>
          <w:szCs w:val="24"/>
        </w:rPr>
        <w:t>koji je prijavio vjerovnik</w:t>
      </w:r>
      <w:r w:rsidR="005F5667" w:rsidRPr="008910BC">
        <w:rPr>
          <w:rFonts w:ascii="Arial" w:hAnsi="Arial" w:cs="Arial"/>
          <w:sz w:val="24"/>
          <w:szCs w:val="24"/>
        </w:rPr>
        <w:t>.</w:t>
      </w:r>
      <w:r w:rsidR="00B03254">
        <w:rPr>
          <w:rStyle w:val="Referencafusnote"/>
          <w:rFonts w:ascii="Arial" w:hAnsi="Arial" w:cs="Arial"/>
          <w:sz w:val="24"/>
          <w:szCs w:val="24"/>
        </w:rPr>
        <w:footnoteReference w:id="202"/>
      </w:r>
      <w:r w:rsidR="005F5667" w:rsidRPr="008910BC">
        <w:rPr>
          <w:rFonts w:ascii="Arial" w:hAnsi="Arial" w:cs="Arial"/>
          <w:sz w:val="24"/>
          <w:szCs w:val="24"/>
        </w:rPr>
        <w:t xml:space="preserve"> </w:t>
      </w:r>
    </w:p>
    <w:p w:rsidR="00764E47" w:rsidRPr="008910BC" w:rsidRDefault="00764E47" w:rsidP="003A35B8">
      <w:pPr>
        <w:autoSpaceDE w:val="0"/>
        <w:autoSpaceDN w:val="0"/>
        <w:adjustRightInd w:val="0"/>
        <w:spacing w:before="120" w:after="120" w:line="240" w:lineRule="auto"/>
        <w:ind w:firstLine="708"/>
        <w:jc w:val="both"/>
        <w:rPr>
          <w:rFonts w:ascii="Arial" w:hAnsi="Arial" w:cs="Arial"/>
          <w:sz w:val="24"/>
          <w:szCs w:val="24"/>
          <w:lang w:val="x-none"/>
        </w:rPr>
      </w:pPr>
      <w:r w:rsidRPr="008910BC">
        <w:rPr>
          <w:rFonts w:ascii="Arial" w:hAnsi="Arial" w:cs="Arial"/>
          <w:sz w:val="24"/>
          <w:szCs w:val="24"/>
          <w:lang w:val="x-none"/>
        </w:rPr>
        <w:t>Prvostupanjski sud dužan je žalbu protiv rješenja o utvrđenim i osporenim tražbinama dostaviti drugostupanjskom sudu u roku od tri dana od njezina primitka. Drugostupanjski sud dužan je odlučiti o žalbi protiv rješenja o utvrđenim i osporenim tražbinama u roku od osam dana od dana primitka</w:t>
      </w:r>
      <w:r w:rsidR="00057512" w:rsidRPr="008910BC">
        <w:rPr>
          <w:rStyle w:val="Referencafusnote"/>
          <w:rFonts w:ascii="Arial" w:hAnsi="Arial" w:cs="Arial"/>
          <w:sz w:val="24"/>
          <w:szCs w:val="24"/>
          <w:lang w:val="x-none"/>
        </w:rPr>
        <w:footnoteReference w:id="203"/>
      </w:r>
      <w:r w:rsidRPr="008910BC">
        <w:rPr>
          <w:rFonts w:ascii="Arial" w:hAnsi="Arial" w:cs="Arial"/>
          <w:sz w:val="24"/>
          <w:szCs w:val="24"/>
          <w:lang w:val="x-none"/>
        </w:rPr>
        <w:t>.</w:t>
      </w:r>
    </w:p>
    <w:p w:rsidR="00AF092B" w:rsidRPr="00AE47B8" w:rsidRDefault="00AF092B" w:rsidP="00251750">
      <w:pPr>
        <w:autoSpaceDE w:val="0"/>
        <w:autoSpaceDN w:val="0"/>
        <w:adjustRightInd w:val="0"/>
        <w:spacing w:before="120" w:after="120" w:line="240" w:lineRule="auto"/>
        <w:ind w:firstLine="708"/>
        <w:jc w:val="both"/>
        <w:rPr>
          <w:rFonts w:ascii="Arial" w:hAnsi="Arial" w:cs="Arial"/>
          <w:b/>
          <w:sz w:val="24"/>
          <w:szCs w:val="24"/>
        </w:rPr>
      </w:pPr>
    </w:p>
    <w:p w:rsidR="00A7493E" w:rsidRPr="00281FC4" w:rsidRDefault="00281FC4" w:rsidP="00281FC4">
      <w:pPr>
        <w:pStyle w:val="Naslov2"/>
      </w:pPr>
      <w:bookmarkStart w:id="36" w:name="_Toc507067634"/>
      <w:r>
        <w:lastRenderedPageBreak/>
        <w:t xml:space="preserve">2.4. </w:t>
      </w:r>
      <w:r w:rsidR="00E722C9" w:rsidRPr="00281FC4">
        <w:t xml:space="preserve"> </w:t>
      </w:r>
      <w:r w:rsidR="00A7493E" w:rsidRPr="00281FC4">
        <w:t xml:space="preserve">Odlučivanje o obustavi </w:t>
      </w:r>
      <w:proofErr w:type="spellStart"/>
      <w:r w:rsidR="00A7493E" w:rsidRPr="00281FC4">
        <w:t>predstečajnog</w:t>
      </w:r>
      <w:proofErr w:type="spellEnd"/>
      <w:r w:rsidR="00A7493E" w:rsidRPr="00281FC4">
        <w:t xml:space="preserve"> postupka</w:t>
      </w:r>
      <w:bookmarkEnd w:id="36"/>
    </w:p>
    <w:p w:rsidR="002C4707" w:rsidRDefault="002C4707" w:rsidP="002C4707">
      <w:pPr>
        <w:pStyle w:val="Bezproreda"/>
        <w:jc w:val="both"/>
      </w:pPr>
    </w:p>
    <w:p w:rsidR="00A7493E" w:rsidRDefault="00A7493E" w:rsidP="002C4707">
      <w:pPr>
        <w:pStyle w:val="Bezproreda"/>
        <w:ind w:firstLine="708"/>
        <w:jc w:val="both"/>
      </w:pPr>
      <w:proofErr w:type="spellStart"/>
      <w:r w:rsidRPr="00BE35B9">
        <w:t>Predstečajni</w:t>
      </w:r>
      <w:proofErr w:type="spellEnd"/>
      <w:r w:rsidRPr="00BE35B9">
        <w:t xml:space="preserve"> postupak mora se završiti u roku od </w:t>
      </w:r>
      <w:r w:rsidR="00DA400A" w:rsidRPr="00BE35B9">
        <w:t>30</w:t>
      </w:r>
      <w:r w:rsidRPr="00BE35B9">
        <w:t xml:space="preserve">0 dana od dana </w:t>
      </w:r>
      <w:r w:rsidR="00DA400A" w:rsidRPr="00BE35B9">
        <w:t>otvaranj</w:t>
      </w:r>
      <w:r w:rsidR="00FC6B61">
        <w:t>a</w:t>
      </w:r>
      <w:r w:rsidR="00DA400A" w:rsidRPr="00BE35B9">
        <w:t xml:space="preserve"> </w:t>
      </w:r>
      <w:proofErr w:type="spellStart"/>
      <w:r w:rsidR="00DA400A" w:rsidRPr="00BE35B9">
        <w:t>predstečajnog</w:t>
      </w:r>
      <w:proofErr w:type="spellEnd"/>
      <w:r w:rsidR="00DA400A" w:rsidRPr="00BE35B9">
        <w:t xml:space="preserve"> postupka.</w:t>
      </w:r>
      <w:r w:rsidR="00DA400A" w:rsidRPr="00BE35B9">
        <w:rPr>
          <w:rStyle w:val="Referencafusnote"/>
          <w:rFonts w:cs="Arial"/>
          <w:szCs w:val="24"/>
        </w:rPr>
        <w:footnoteReference w:id="204"/>
      </w:r>
      <w:r w:rsidR="00BE35B9" w:rsidRPr="00BE35B9">
        <w:t xml:space="preserve"> </w:t>
      </w:r>
      <w:r w:rsidRPr="00BE35B9">
        <w:t>Iznimno, sud može, na prijedlog dužnika, dopusti</w:t>
      </w:r>
      <w:r w:rsidR="00BE35B9" w:rsidRPr="00BE35B9">
        <w:t>ti produženje roka za daljnjih 6</w:t>
      </w:r>
      <w:r w:rsidRPr="00BE35B9">
        <w:t xml:space="preserve">0 dana ako smatra da bi to bilo svrsishodno za sklapanje </w:t>
      </w:r>
      <w:proofErr w:type="spellStart"/>
      <w:r w:rsidRPr="00BE35B9">
        <w:t>predstečajnog</w:t>
      </w:r>
      <w:proofErr w:type="spellEnd"/>
      <w:r w:rsidRPr="00BE35B9">
        <w:t xml:space="preserve"> sporazuma.</w:t>
      </w:r>
      <w:r w:rsidR="00BE35B9">
        <w:rPr>
          <w:rStyle w:val="Referencafusnote"/>
          <w:rFonts w:cs="Arial"/>
          <w:szCs w:val="24"/>
          <w:lang w:val="x-none"/>
        </w:rPr>
        <w:footnoteReference w:id="205"/>
      </w:r>
      <w:r w:rsidRPr="00BE35B9">
        <w:t xml:space="preserve"> Sud će obustaviti </w:t>
      </w:r>
      <w:proofErr w:type="spellStart"/>
      <w:r w:rsidRPr="00BE35B9">
        <w:t>predstečajni</w:t>
      </w:r>
      <w:proofErr w:type="spellEnd"/>
      <w:r w:rsidRPr="00BE35B9">
        <w:t xml:space="preserve"> postupak ako ne potvrdi </w:t>
      </w:r>
      <w:proofErr w:type="spellStart"/>
      <w:r w:rsidRPr="00BE35B9">
        <w:t>predstečajni</w:t>
      </w:r>
      <w:proofErr w:type="spellEnd"/>
      <w:r w:rsidRPr="00BE35B9">
        <w:t xml:space="preserve"> sporazum u </w:t>
      </w:r>
      <w:r w:rsidR="00843057" w:rsidRPr="00BE35B9">
        <w:t xml:space="preserve">zakonom određenim </w:t>
      </w:r>
      <w:r w:rsidRPr="00BE35B9">
        <w:t>rokovima</w:t>
      </w:r>
      <w:r w:rsidR="00843057" w:rsidRPr="00BE35B9">
        <w:t>.</w:t>
      </w:r>
      <w:r w:rsidR="00BE35B9">
        <w:rPr>
          <w:rStyle w:val="Referencafusnote"/>
          <w:rFonts w:cs="Arial"/>
          <w:szCs w:val="24"/>
        </w:rPr>
        <w:footnoteReference w:id="206"/>
      </w:r>
    </w:p>
    <w:p w:rsidR="002C4707" w:rsidRPr="00BE35B9" w:rsidRDefault="002C4707" w:rsidP="002C4707">
      <w:pPr>
        <w:pStyle w:val="Bezproreda"/>
        <w:ind w:firstLine="708"/>
        <w:jc w:val="both"/>
      </w:pPr>
    </w:p>
    <w:p w:rsidR="00BE2BA0" w:rsidRDefault="00A7493E" w:rsidP="002C4707">
      <w:pPr>
        <w:pStyle w:val="Bezproreda"/>
        <w:jc w:val="both"/>
      </w:pPr>
      <w:r>
        <w:rPr>
          <w:rFonts w:ascii="Times New Roman" w:hAnsi="Times New Roman" w:cs="Times New Roman"/>
        </w:rPr>
        <w:tab/>
      </w:r>
      <w:r w:rsidR="00BE2BA0" w:rsidRPr="00BE35B9">
        <w:t xml:space="preserve">Može li sud i nakon proteka roka od </w:t>
      </w:r>
      <w:r w:rsidR="000A6239" w:rsidRPr="00BE35B9">
        <w:t>300</w:t>
      </w:r>
      <w:r w:rsidR="00BE2BA0" w:rsidRPr="00BE35B9">
        <w:t xml:space="preserve"> odnosno </w:t>
      </w:r>
      <w:r w:rsidR="000A6239" w:rsidRPr="00BE35B9">
        <w:t>360</w:t>
      </w:r>
      <w:r w:rsidR="00BE2BA0" w:rsidRPr="00BE35B9">
        <w:t xml:space="preserve"> dana nastaviti </w:t>
      </w:r>
      <w:proofErr w:type="spellStart"/>
      <w:r w:rsidR="00BE2BA0" w:rsidRPr="00BE35B9">
        <w:t>predstečajni</w:t>
      </w:r>
      <w:proofErr w:type="spellEnd"/>
      <w:r w:rsidR="00BE2BA0" w:rsidRPr="00BE35B9">
        <w:t xml:space="preserve"> postupak iako nije potvrdio </w:t>
      </w:r>
      <w:proofErr w:type="spellStart"/>
      <w:r w:rsidR="00BE2BA0" w:rsidRPr="00BE35B9">
        <w:t>predstečajni</w:t>
      </w:r>
      <w:proofErr w:type="spellEnd"/>
      <w:r w:rsidR="00BE2BA0" w:rsidRPr="00BE35B9">
        <w:t xml:space="preserve"> sporazum ili </w:t>
      </w:r>
      <w:r w:rsidR="009B6F97" w:rsidRPr="00BE35B9">
        <w:t xml:space="preserve">postupak </w:t>
      </w:r>
      <w:r w:rsidR="00B03254">
        <w:t>mora obustaviti ?</w:t>
      </w:r>
      <w:r w:rsidR="00BE2BA0" w:rsidRPr="00BE35B9">
        <w:t xml:space="preserve"> Navedenu odredbu treba promatrati ne samo u okviru Stečajnog zakona, već i u okviru ostalih izvora prava. Prema odredbi članka 29. st. 1. Ustava Republike Hrvatske</w:t>
      </w:r>
      <w:r w:rsidR="00C60B70" w:rsidRPr="00BE35B9">
        <w:rPr>
          <w:rStyle w:val="Referencafusnote"/>
          <w:rFonts w:cs="Arial"/>
          <w:szCs w:val="24"/>
        </w:rPr>
        <w:footnoteReference w:id="207"/>
      </w:r>
      <w:r w:rsidR="00BE2BA0" w:rsidRPr="00BE35B9">
        <w:t xml:space="preserve"> svatko ima pravo da zakonom ustanovljeni neovisni i nepristrani sud pravično i u razumnom roku odluči o njegovim pravima i obvezama. S druge strane, odredba čl</w:t>
      </w:r>
      <w:r w:rsidR="00BE35B9" w:rsidRPr="00BE35B9">
        <w:t>anka</w:t>
      </w:r>
      <w:r w:rsidR="00BE2BA0" w:rsidRPr="00BE35B9">
        <w:t xml:space="preserve"> 6. Konvencije za zaštitu ljudskih prava i temeljnih sloboda</w:t>
      </w:r>
      <w:r w:rsidR="00BE2BA0" w:rsidRPr="00BE35B9">
        <w:rPr>
          <w:rStyle w:val="Referencafusnote"/>
          <w:rFonts w:cs="Arial"/>
          <w:szCs w:val="24"/>
        </w:rPr>
        <w:footnoteReference w:id="208"/>
      </w:r>
      <w:r w:rsidR="00BE2BA0" w:rsidRPr="00BE35B9">
        <w:t xml:space="preserve"> jamči pravo na pošteno suđenje i pristup sudu. Primjena odredbe članka 63. st</w:t>
      </w:r>
      <w:r w:rsidR="00BE35B9" w:rsidRPr="00BE35B9">
        <w:t>avak</w:t>
      </w:r>
      <w:r w:rsidR="00BE2BA0" w:rsidRPr="00BE35B9">
        <w:t xml:space="preserve"> 2. SZ-a, odnosno dužnost suda da obustavi </w:t>
      </w:r>
      <w:proofErr w:type="spellStart"/>
      <w:r w:rsidR="00BE2BA0" w:rsidRPr="00BE35B9">
        <w:t>predstečajni</w:t>
      </w:r>
      <w:proofErr w:type="spellEnd"/>
      <w:r w:rsidR="00BE2BA0" w:rsidRPr="00BE35B9">
        <w:t xml:space="preserve"> postupak protekom zakonom pre</w:t>
      </w:r>
      <w:r w:rsidR="004655EA" w:rsidRPr="00BE35B9">
        <w:t xml:space="preserve">dviđenog roka, ovisi i o tome je </w:t>
      </w:r>
      <w:r w:rsidR="00BE2BA0" w:rsidRPr="00BE35B9">
        <w:t>li sud pružio strankama pravo pristupa i pošteno suđenje</w:t>
      </w:r>
      <w:r w:rsidR="00BE2BA0" w:rsidRPr="00BE35B9">
        <w:rPr>
          <w:rStyle w:val="Referencafusnote"/>
          <w:rFonts w:cs="Arial"/>
          <w:szCs w:val="24"/>
        </w:rPr>
        <w:footnoteReference w:id="209"/>
      </w:r>
      <w:r w:rsidR="00BE2BA0" w:rsidRPr="00BE35B9">
        <w:t>.</w:t>
      </w:r>
    </w:p>
    <w:p w:rsidR="002C4707" w:rsidRPr="00BE35B9" w:rsidRDefault="002C4707" w:rsidP="002C4707">
      <w:pPr>
        <w:pStyle w:val="Bezproreda"/>
        <w:jc w:val="both"/>
      </w:pPr>
    </w:p>
    <w:p w:rsidR="00A7493E" w:rsidRPr="00BE35B9" w:rsidRDefault="00A7493E" w:rsidP="002C4707">
      <w:pPr>
        <w:pStyle w:val="Bezproreda"/>
        <w:ind w:firstLine="708"/>
      </w:pPr>
      <w:r w:rsidRPr="00BE35B9">
        <w:t xml:space="preserve">Sud će također rješenjem obustaviti </w:t>
      </w:r>
      <w:r w:rsidR="003E46E3">
        <w:t xml:space="preserve">otvoreni </w:t>
      </w:r>
      <w:proofErr w:type="spellStart"/>
      <w:r w:rsidRPr="00BE35B9">
        <w:t>predstečajni</w:t>
      </w:r>
      <w:proofErr w:type="spellEnd"/>
      <w:r w:rsidRPr="00BE35B9">
        <w:t xml:space="preserve"> postupak:</w:t>
      </w:r>
    </w:p>
    <w:p w:rsidR="00BE35B9" w:rsidRDefault="00A7493E" w:rsidP="00BE35B9">
      <w:pPr>
        <w:pStyle w:val="Bezproreda"/>
        <w:rPr>
          <w:rFonts w:cs="Arial"/>
        </w:rPr>
      </w:pPr>
      <w:r w:rsidRPr="00BE35B9">
        <w:rPr>
          <w:rFonts w:cs="Arial"/>
        </w:rPr>
        <w:t xml:space="preserve">- </w:t>
      </w:r>
      <w:r w:rsidR="00B03254">
        <w:rPr>
          <w:rFonts w:cs="Arial"/>
        </w:rPr>
        <w:t xml:space="preserve"> </w:t>
      </w:r>
      <w:r w:rsidRPr="00BE35B9">
        <w:rPr>
          <w:rFonts w:cs="Arial"/>
        </w:rPr>
        <w:t xml:space="preserve">ako utvrdi da ne postoji </w:t>
      </w:r>
      <w:proofErr w:type="spellStart"/>
      <w:r w:rsidRPr="00BE35B9">
        <w:rPr>
          <w:rFonts w:cs="Arial"/>
        </w:rPr>
        <w:t>predstečajni</w:t>
      </w:r>
      <w:proofErr w:type="spellEnd"/>
      <w:r w:rsidRPr="00BE35B9">
        <w:rPr>
          <w:rFonts w:cs="Arial"/>
        </w:rPr>
        <w:t xml:space="preserve"> razlog,</w:t>
      </w:r>
    </w:p>
    <w:p w:rsidR="00A7493E" w:rsidRPr="00BE35B9" w:rsidRDefault="00A7493E" w:rsidP="00BE35B9">
      <w:pPr>
        <w:pStyle w:val="Bezproreda"/>
        <w:jc w:val="both"/>
        <w:rPr>
          <w:rFonts w:cs="Arial"/>
        </w:rPr>
      </w:pPr>
      <w:r w:rsidRPr="00BE35B9">
        <w:rPr>
          <w:rFonts w:cs="Arial"/>
        </w:rPr>
        <w:t>- ak</w:t>
      </w:r>
      <w:r w:rsidR="00BE35B9">
        <w:rPr>
          <w:rFonts w:cs="Arial"/>
        </w:rPr>
        <w:t xml:space="preserve">o dužnik u tijeku </w:t>
      </w:r>
      <w:proofErr w:type="spellStart"/>
      <w:r w:rsidR="00BE35B9">
        <w:rPr>
          <w:rFonts w:cs="Arial"/>
        </w:rPr>
        <w:t>predstečajnog</w:t>
      </w:r>
      <w:proofErr w:type="spellEnd"/>
      <w:r w:rsidRPr="00BE35B9">
        <w:rPr>
          <w:rFonts w:cs="Arial"/>
        </w:rPr>
        <w:t xml:space="preserve"> postupka postupa protivno odredbama članka 67. Zakona</w:t>
      </w:r>
      <w:r w:rsidR="00CE0905" w:rsidRPr="00BE35B9">
        <w:rPr>
          <w:rFonts w:cs="Arial"/>
        </w:rPr>
        <w:t xml:space="preserve"> </w:t>
      </w:r>
      <w:r w:rsidR="008664BC" w:rsidRPr="00BE35B9">
        <w:rPr>
          <w:rFonts w:cs="Arial"/>
        </w:rPr>
        <w:t xml:space="preserve">- odnosno ako obavlja plaćanja koja nisu nužna za redovno poslovanje, </w:t>
      </w:r>
      <w:r w:rsidR="00CE0905" w:rsidRPr="00BE35B9">
        <w:rPr>
          <w:rFonts w:cs="Arial"/>
        </w:rPr>
        <w:t xml:space="preserve">ispunjava obveze nastale i dospjele prije otvaranja </w:t>
      </w:r>
      <w:proofErr w:type="spellStart"/>
      <w:r w:rsidR="00CE0905" w:rsidRPr="00BE35B9">
        <w:rPr>
          <w:rFonts w:cs="Arial"/>
        </w:rPr>
        <w:t>predstečajnog</w:t>
      </w:r>
      <w:proofErr w:type="spellEnd"/>
      <w:r w:rsidR="00CE0905" w:rsidRPr="00BE35B9">
        <w:rPr>
          <w:rFonts w:cs="Arial"/>
        </w:rPr>
        <w:t xml:space="preserve"> postupka, otuđuje i opterećuje imovinu bez prethodnog odobrenja povjerenika ili suda ako povjerenik nije imenovan,</w:t>
      </w:r>
    </w:p>
    <w:p w:rsidR="00A7493E" w:rsidRPr="00BE35B9" w:rsidRDefault="00A7493E" w:rsidP="00BE35B9">
      <w:pPr>
        <w:pStyle w:val="Bezproreda"/>
        <w:jc w:val="both"/>
        <w:rPr>
          <w:rFonts w:cs="Arial"/>
        </w:rPr>
      </w:pPr>
      <w:r w:rsidRPr="00BE35B9">
        <w:rPr>
          <w:rFonts w:cs="Arial"/>
        </w:rPr>
        <w:t xml:space="preserve">- ako dužnik u tijeku </w:t>
      </w:r>
      <w:proofErr w:type="spellStart"/>
      <w:r w:rsidRPr="00BE35B9">
        <w:rPr>
          <w:rFonts w:cs="Arial"/>
        </w:rPr>
        <w:t>predstečajnoga</w:t>
      </w:r>
      <w:proofErr w:type="spellEnd"/>
      <w:r w:rsidRPr="00BE35B9">
        <w:rPr>
          <w:rFonts w:cs="Arial"/>
        </w:rPr>
        <w:t xml:space="preserve"> postupka više od 30 dana kasni s isplatom plaće koja radniku pripada prema ugovoru o radu, pravilniku o radu, kolektivnom ugovoru ili posebnom propisu odnosno prema drugom aktu kojim se uređuju obveze poslodavca prema radniku dospjelim nakon otvaranja </w:t>
      </w:r>
      <w:proofErr w:type="spellStart"/>
      <w:r w:rsidRPr="00BE35B9">
        <w:rPr>
          <w:rFonts w:cs="Arial"/>
        </w:rPr>
        <w:t>predstečajnoga</w:t>
      </w:r>
      <w:proofErr w:type="spellEnd"/>
      <w:r w:rsidRPr="00BE35B9">
        <w:rPr>
          <w:rFonts w:cs="Arial"/>
        </w:rPr>
        <w:t xml:space="preserve"> postupka ili ako u tom roku ne uplati doprinose i poreze prema plaći, računajući od dana kada je radniku bio dužan isplatiti plaću</w:t>
      </w:r>
      <w:r w:rsidR="00AC1DB2" w:rsidRPr="00BE35B9">
        <w:rPr>
          <w:rFonts w:cs="Arial"/>
        </w:rPr>
        <w:t>,</w:t>
      </w:r>
    </w:p>
    <w:p w:rsidR="00A7493E" w:rsidRPr="00BE35B9" w:rsidRDefault="00A7493E" w:rsidP="00BE35B9">
      <w:pPr>
        <w:pStyle w:val="Bezproreda"/>
        <w:rPr>
          <w:rFonts w:cs="Arial"/>
        </w:rPr>
      </w:pPr>
      <w:r w:rsidRPr="00BE35B9">
        <w:rPr>
          <w:rFonts w:cs="Arial"/>
        </w:rPr>
        <w:t xml:space="preserve">- </w:t>
      </w:r>
      <w:r w:rsidR="00CF7C33" w:rsidRPr="00BE35B9">
        <w:rPr>
          <w:rFonts w:cs="Arial"/>
        </w:rPr>
        <w:t xml:space="preserve"> </w:t>
      </w:r>
      <w:r w:rsidRPr="00BE35B9">
        <w:rPr>
          <w:rFonts w:cs="Arial"/>
        </w:rPr>
        <w:t>ako dužnik ispuni sve obveze prema vjerovnicima do ročišta za glasovanje</w:t>
      </w:r>
      <w:r w:rsidR="00AC1DB2" w:rsidRPr="00BE35B9">
        <w:rPr>
          <w:rFonts w:cs="Arial"/>
        </w:rPr>
        <w:t>,</w:t>
      </w:r>
    </w:p>
    <w:p w:rsidR="00A7493E" w:rsidRPr="00BE35B9" w:rsidRDefault="00A7493E" w:rsidP="00BE35B9">
      <w:pPr>
        <w:pStyle w:val="Bezproreda"/>
        <w:jc w:val="both"/>
        <w:rPr>
          <w:rFonts w:cs="Arial"/>
        </w:rPr>
      </w:pPr>
      <w:r w:rsidRPr="00BE35B9">
        <w:rPr>
          <w:rFonts w:cs="Arial"/>
        </w:rPr>
        <w:t>- ako Hrvatska narodna banka ne izda prethodnu suglasnost za pretvaranje tražbine kreditne institucije u</w:t>
      </w:r>
      <w:bookmarkStart w:id="37" w:name="anchor_anchor"/>
      <w:bookmarkEnd w:id="37"/>
      <w:r w:rsidRPr="00BE35B9">
        <w:rPr>
          <w:rFonts w:cs="Arial"/>
        </w:rPr>
        <w:t xml:space="preserve"> temeljni kapital dužnika</w:t>
      </w:r>
      <w:r w:rsidR="0030066C" w:rsidRPr="00BE35B9">
        <w:rPr>
          <w:rFonts w:cs="Arial"/>
        </w:rPr>
        <w:t>,</w:t>
      </w:r>
    </w:p>
    <w:p w:rsidR="00A7493E" w:rsidRPr="00BE35B9" w:rsidRDefault="00A7493E" w:rsidP="00BE35B9">
      <w:pPr>
        <w:pStyle w:val="Bezproreda"/>
        <w:jc w:val="both"/>
        <w:rPr>
          <w:rFonts w:cs="Arial"/>
        </w:rPr>
      </w:pPr>
      <w:r w:rsidRPr="00BE35B9">
        <w:rPr>
          <w:rFonts w:cs="Arial"/>
        </w:rPr>
        <w:t>- u dr</w:t>
      </w:r>
      <w:r w:rsidR="00BE35B9">
        <w:rPr>
          <w:rFonts w:cs="Arial"/>
        </w:rPr>
        <w:t>ugim slučajevima propisanim</w:t>
      </w:r>
      <w:r w:rsidRPr="00BE35B9">
        <w:rPr>
          <w:rFonts w:cs="Arial"/>
        </w:rPr>
        <w:t xml:space="preserve"> Zakonom</w:t>
      </w:r>
      <w:r w:rsidR="007A0B79" w:rsidRPr="00BE35B9">
        <w:rPr>
          <w:rFonts w:cs="Arial"/>
        </w:rPr>
        <w:t xml:space="preserve"> – ako nisu ispunjene pretpostavke za potvrđivanje </w:t>
      </w:r>
      <w:proofErr w:type="spellStart"/>
      <w:r w:rsidR="007A0B79" w:rsidRPr="00BE35B9">
        <w:rPr>
          <w:rFonts w:cs="Arial"/>
        </w:rPr>
        <w:t>predstečajnoga</w:t>
      </w:r>
      <w:proofErr w:type="spellEnd"/>
      <w:r w:rsidR="007A0B79" w:rsidRPr="00BE35B9">
        <w:rPr>
          <w:rFonts w:cs="Arial"/>
        </w:rPr>
        <w:t xml:space="preserve"> sporazuma</w:t>
      </w:r>
      <w:r w:rsidR="007A0B79" w:rsidRPr="00BE35B9">
        <w:rPr>
          <w:rStyle w:val="Referencafusnote"/>
          <w:rFonts w:cs="Arial"/>
          <w:szCs w:val="24"/>
        </w:rPr>
        <w:footnoteReference w:id="210"/>
      </w:r>
      <w:r w:rsidR="001B7C9D" w:rsidRPr="00BE35B9">
        <w:rPr>
          <w:rFonts w:cs="Arial"/>
        </w:rPr>
        <w:t>;  ako dužnik ne dostavi izmijenjeni plan restrukturiranja</w:t>
      </w:r>
      <w:r w:rsidR="001B7C9D" w:rsidRPr="00BE35B9">
        <w:rPr>
          <w:rStyle w:val="Referencafusnote"/>
          <w:rFonts w:cs="Arial"/>
          <w:szCs w:val="24"/>
        </w:rPr>
        <w:footnoteReference w:id="211"/>
      </w:r>
      <w:r w:rsidR="001B7C9D" w:rsidRPr="00BE35B9">
        <w:rPr>
          <w:rFonts w:cs="Arial"/>
        </w:rPr>
        <w:t xml:space="preserve">; ako se </w:t>
      </w:r>
      <w:proofErr w:type="spellStart"/>
      <w:r w:rsidR="001B7C9D" w:rsidRPr="00BE35B9">
        <w:rPr>
          <w:rFonts w:cs="Arial"/>
        </w:rPr>
        <w:t>predstečajni</w:t>
      </w:r>
      <w:proofErr w:type="spellEnd"/>
      <w:r w:rsidR="001B7C9D" w:rsidRPr="00BE35B9">
        <w:rPr>
          <w:rFonts w:cs="Arial"/>
        </w:rPr>
        <w:t xml:space="preserve"> sporazum ne potvrdi u zakonom određenim rokovima; ako vjerovnici ne prihvate </w:t>
      </w:r>
      <w:r w:rsidR="00BE35B9">
        <w:rPr>
          <w:rFonts w:cs="Arial"/>
        </w:rPr>
        <w:t xml:space="preserve">prijedlog </w:t>
      </w:r>
      <w:r w:rsidR="001B7C9D" w:rsidRPr="00BE35B9">
        <w:rPr>
          <w:rFonts w:cs="Arial"/>
        </w:rPr>
        <w:t>plan</w:t>
      </w:r>
      <w:r w:rsidR="00BE35B9">
        <w:rPr>
          <w:rFonts w:cs="Arial"/>
        </w:rPr>
        <w:t>a</w:t>
      </w:r>
      <w:r w:rsidR="001B7C9D" w:rsidRPr="00BE35B9">
        <w:rPr>
          <w:rFonts w:cs="Arial"/>
        </w:rPr>
        <w:t xml:space="preserve"> restrukturiranja potrebnom većinom.</w:t>
      </w:r>
    </w:p>
    <w:p w:rsidR="00A7493E" w:rsidRPr="00BE35B9" w:rsidRDefault="00A7493E" w:rsidP="00A7493E">
      <w:pPr>
        <w:autoSpaceDE w:val="0"/>
        <w:autoSpaceDN w:val="0"/>
        <w:adjustRightInd w:val="0"/>
        <w:spacing w:before="150" w:after="150" w:line="240" w:lineRule="auto"/>
        <w:ind w:firstLine="705"/>
        <w:jc w:val="both"/>
        <w:rPr>
          <w:rFonts w:ascii="Arial" w:hAnsi="Arial" w:cs="Arial"/>
          <w:sz w:val="24"/>
          <w:szCs w:val="24"/>
          <w:lang w:val="x-none"/>
        </w:rPr>
      </w:pPr>
      <w:r w:rsidRPr="00BE35B9">
        <w:rPr>
          <w:rFonts w:ascii="Arial" w:hAnsi="Arial" w:cs="Arial"/>
          <w:sz w:val="24"/>
          <w:szCs w:val="24"/>
          <w:lang w:val="x-none"/>
        </w:rPr>
        <w:t xml:space="preserve">Pravomoćno rješenje o obustavi </w:t>
      </w:r>
      <w:proofErr w:type="spellStart"/>
      <w:r w:rsidRPr="00BE35B9">
        <w:rPr>
          <w:rFonts w:ascii="Arial" w:hAnsi="Arial" w:cs="Arial"/>
          <w:sz w:val="24"/>
          <w:szCs w:val="24"/>
          <w:lang w:val="x-none"/>
        </w:rPr>
        <w:t>predstečajnoga</w:t>
      </w:r>
      <w:proofErr w:type="spellEnd"/>
      <w:r w:rsidRPr="00BE35B9">
        <w:rPr>
          <w:rFonts w:ascii="Arial" w:hAnsi="Arial" w:cs="Arial"/>
          <w:sz w:val="24"/>
          <w:szCs w:val="24"/>
          <w:lang w:val="x-none"/>
        </w:rPr>
        <w:t xml:space="preserve"> postupka sud će dostaviti F</w:t>
      </w:r>
      <w:r w:rsidR="0030066C" w:rsidRPr="00BE35B9">
        <w:rPr>
          <w:rFonts w:ascii="Arial" w:hAnsi="Arial" w:cs="Arial"/>
          <w:sz w:val="24"/>
          <w:szCs w:val="24"/>
        </w:rPr>
        <w:t>INA-i.</w:t>
      </w:r>
    </w:p>
    <w:p w:rsidR="006802BE" w:rsidRPr="00BE35B9" w:rsidRDefault="006802BE" w:rsidP="00B03254">
      <w:pPr>
        <w:pStyle w:val="Bezproreda"/>
        <w:ind w:firstLine="594"/>
        <w:jc w:val="both"/>
      </w:pPr>
      <w:r w:rsidRPr="00BE35B9">
        <w:t>U slučajevima obustave postupka, sud će po službenoj dužnosti nastaviti postupak kao da je podnesen prijedlog za otvaranje stečajnog postupka, osim ako utvrdi da je dužnik sposoban za plaćanje i da je ispunio sve obveze prema vjerovnicima.</w:t>
      </w:r>
    </w:p>
    <w:p w:rsidR="00494B44" w:rsidRDefault="00494B44" w:rsidP="006554DF">
      <w:pPr>
        <w:autoSpaceDE w:val="0"/>
        <w:autoSpaceDN w:val="0"/>
        <w:adjustRightInd w:val="0"/>
        <w:spacing w:before="150" w:after="150" w:line="240" w:lineRule="auto"/>
        <w:jc w:val="both"/>
        <w:rPr>
          <w:rFonts w:ascii="Times New Roman" w:hAnsi="Times New Roman" w:cs="Times New Roman"/>
          <w:sz w:val="24"/>
          <w:szCs w:val="24"/>
        </w:rPr>
      </w:pPr>
    </w:p>
    <w:p w:rsidR="006931B6" w:rsidRDefault="00281FC4" w:rsidP="00281FC4">
      <w:pPr>
        <w:pStyle w:val="Naslov1"/>
      </w:pPr>
      <w:bookmarkStart w:id="38" w:name="_Toc507067635"/>
      <w:r>
        <w:lastRenderedPageBreak/>
        <w:t xml:space="preserve">3. </w:t>
      </w:r>
      <w:r w:rsidRPr="00281FC4">
        <w:t>RASPRAVLJANJE I GLASOVANJE O PLANU RESTRUKTURIRANJA</w:t>
      </w:r>
      <w:bookmarkEnd w:id="38"/>
    </w:p>
    <w:p w:rsidR="00281FC4" w:rsidRPr="00281FC4" w:rsidRDefault="00281FC4" w:rsidP="00281FC4"/>
    <w:p w:rsidR="001E55E7" w:rsidRDefault="000E6A87" w:rsidP="00FC6B61">
      <w:pPr>
        <w:pStyle w:val="Bezproreda"/>
        <w:jc w:val="both"/>
      </w:pPr>
      <w:r>
        <w:tab/>
      </w:r>
      <w:r w:rsidR="001E55E7">
        <w:t xml:space="preserve">Podnositelj prijedloga za otvaranje </w:t>
      </w:r>
      <w:proofErr w:type="spellStart"/>
      <w:r w:rsidR="001E55E7">
        <w:t>predstečajnog</w:t>
      </w:r>
      <w:proofErr w:type="spellEnd"/>
      <w:r w:rsidR="001E55E7">
        <w:t xml:space="preserve"> postupka dužan je uz prijedlog za otvaranje </w:t>
      </w:r>
      <w:proofErr w:type="spellStart"/>
      <w:r w:rsidR="001E55E7">
        <w:t>predstečajnog</w:t>
      </w:r>
      <w:proofErr w:type="spellEnd"/>
      <w:r w:rsidR="001E55E7">
        <w:t xml:space="preserve"> postupka dostaviti</w:t>
      </w:r>
      <w:r w:rsidR="00023611">
        <w:t xml:space="preserve"> i </w:t>
      </w:r>
      <w:r w:rsidR="00FC6B61">
        <w:t>p</w:t>
      </w:r>
      <w:r w:rsidR="00DE6206">
        <w:t>r</w:t>
      </w:r>
      <w:r w:rsidR="00FC6B61">
        <w:t xml:space="preserve">ijedlog </w:t>
      </w:r>
      <w:r w:rsidR="001E55E7">
        <w:t>plan</w:t>
      </w:r>
      <w:r w:rsidR="00F4635D">
        <w:t>a</w:t>
      </w:r>
      <w:r w:rsidR="001E55E7">
        <w:t xml:space="preserve"> restrukturiranja</w:t>
      </w:r>
      <w:r w:rsidR="002537A8">
        <w:rPr>
          <w:rStyle w:val="Referencafusnote"/>
          <w:rFonts w:ascii="Times New Roman" w:hAnsi="Times New Roman" w:cs="Times New Roman"/>
          <w:szCs w:val="24"/>
          <w:lang w:val="x-none"/>
        </w:rPr>
        <w:footnoteReference w:id="212"/>
      </w:r>
      <w:r w:rsidR="001E55E7">
        <w:t>.</w:t>
      </w:r>
    </w:p>
    <w:p w:rsidR="00DA400A" w:rsidRPr="00DA400A" w:rsidRDefault="00DA400A" w:rsidP="001E55E7">
      <w:pPr>
        <w:autoSpaceDE w:val="0"/>
        <w:autoSpaceDN w:val="0"/>
        <w:adjustRightInd w:val="0"/>
        <w:spacing w:before="120" w:after="120" w:line="240" w:lineRule="auto"/>
        <w:jc w:val="both"/>
        <w:rPr>
          <w:rFonts w:ascii="Times New Roman" w:hAnsi="Times New Roman" w:cs="Times New Roman"/>
          <w:sz w:val="24"/>
          <w:szCs w:val="24"/>
        </w:rPr>
      </w:pPr>
    </w:p>
    <w:p w:rsidR="006674D6" w:rsidRPr="00281FC4" w:rsidRDefault="00281FC4" w:rsidP="00281FC4">
      <w:pPr>
        <w:pStyle w:val="Naslov2"/>
      </w:pPr>
      <w:bookmarkStart w:id="39" w:name="_Toc507067636"/>
      <w:r>
        <w:t xml:space="preserve">3.1. </w:t>
      </w:r>
      <w:r w:rsidR="006674D6" w:rsidRPr="00281FC4">
        <w:t xml:space="preserve">Sadržaj </w:t>
      </w:r>
      <w:r w:rsidR="00FC6B61" w:rsidRPr="00281FC4">
        <w:t xml:space="preserve">prijedloga </w:t>
      </w:r>
      <w:r w:rsidR="006674D6" w:rsidRPr="00281FC4">
        <w:t>plana restrukturiranja</w:t>
      </w:r>
      <w:bookmarkEnd w:id="39"/>
      <w:r w:rsidR="006674D6" w:rsidRPr="00281FC4">
        <w:t xml:space="preserve"> </w:t>
      </w:r>
    </w:p>
    <w:p w:rsidR="006674D6" w:rsidRDefault="006674D6" w:rsidP="006674D6">
      <w:pPr>
        <w:pStyle w:val="Odlomakpopisa"/>
        <w:autoSpaceDE w:val="0"/>
        <w:autoSpaceDN w:val="0"/>
        <w:adjustRightInd w:val="0"/>
        <w:spacing w:before="120" w:after="120" w:line="240" w:lineRule="auto"/>
        <w:ind w:left="851"/>
        <w:jc w:val="both"/>
        <w:rPr>
          <w:rFonts w:ascii="Times New Roman" w:hAnsi="Times New Roman" w:cs="Times New Roman"/>
          <w:sz w:val="24"/>
          <w:szCs w:val="24"/>
        </w:rPr>
      </w:pPr>
    </w:p>
    <w:p w:rsidR="001E55E7" w:rsidRPr="00FC6B61" w:rsidRDefault="00FC6B61" w:rsidP="00DE6206">
      <w:pPr>
        <w:pStyle w:val="Bezproreda"/>
        <w:ind w:firstLine="708"/>
        <w:rPr>
          <w:rFonts w:cs="Arial"/>
        </w:rPr>
      </w:pPr>
      <w:r w:rsidRPr="00FC6B61">
        <w:rPr>
          <w:rFonts w:cs="Arial"/>
        </w:rPr>
        <w:t>Prijedlog p</w:t>
      </w:r>
      <w:r w:rsidR="00023611" w:rsidRPr="00FC6B61">
        <w:rPr>
          <w:rFonts w:cs="Arial"/>
        </w:rPr>
        <w:t>lan</w:t>
      </w:r>
      <w:r w:rsidRPr="00FC6B61">
        <w:rPr>
          <w:rFonts w:cs="Arial"/>
        </w:rPr>
        <w:t>a</w:t>
      </w:r>
      <w:r w:rsidR="00023611" w:rsidRPr="00FC6B61">
        <w:rPr>
          <w:rFonts w:cs="Arial"/>
        </w:rPr>
        <w:t xml:space="preserve"> restrukturiranja </w:t>
      </w:r>
      <w:r w:rsidR="001E55E7" w:rsidRPr="00FC6B61">
        <w:rPr>
          <w:rFonts w:cs="Arial"/>
          <w:lang w:val="x-none"/>
        </w:rPr>
        <w:t>mora sadržavati</w:t>
      </w:r>
      <w:r w:rsidR="002537A8" w:rsidRPr="00FC6B61">
        <w:rPr>
          <w:rStyle w:val="Referencafusnote"/>
          <w:rFonts w:cs="Arial"/>
          <w:szCs w:val="24"/>
          <w:lang w:val="x-none"/>
        </w:rPr>
        <w:footnoteReference w:id="213"/>
      </w:r>
      <w:r w:rsidR="001E55E7" w:rsidRPr="00FC6B61">
        <w:rPr>
          <w:rFonts w:cs="Arial"/>
          <w:lang w:val="x-none"/>
        </w:rPr>
        <w:t>:</w:t>
      </w:r>
    </w:p>
    <w:p w:rsidR="001E55E7" w:rsidRPr="00FC6B61" w:rsidRDefault="001E55E7" w:rsidP="00FC6B61">
      <w:pPr>
        <w:pStyle w:val="Bezproreda"/>
        <w:jc w:val="both"/>
        <w:rPr>
          <w:rFonts w:cs="Arial"/>
        </w:rPr>
      </w:pPr>
      <w:r w:rsidRPr="00FC6B61">
        <w:rPr>
          <w:rFonts w:cs="Arial"/>
        </w:rPr>
        <w:tab/>
        <w:t xml:space="preserve">- </w:t>
      </w:r>
      <w:r w:rsidRPr="00FC6B61">
        <w:rPr>
          <w:rFonts w:cs="Arial"/>
          <w:lang w:val="x-none"/>
        </w:rPr>
        <w:t xml:space="preserve">činjenice i okolnosti iz kojih proizlazi postojanje </w:t>
      </w:r>
      <w:proofErr w:type="spellStart"/>
      <w:r w:rsidRPr="00FC6B61">
        <w:rPr>
          <w:rFonts w:cs="Arial"/>
        </w:rPr>
        <w:t>predstečajnog</w:t>
      </w:r>
      <w:r w:rsidR="009B6F97" w:rsidRPr="00FC6B61">
        <w:rPr>
          <w:rFonts w:cs="Arial"/>
        </w:rPr>
        <w:t>a</w:t>
      </w:r>
      <w:proofErr w:type="spellEnd"/>
      <w:r w:rsidRPr="00FC6B61">
        <w:rPr>
          <w:rFonts w:cs="Arial"/>
        </w:rPr>
        <w:t xml:space="preserve"> razloga (</w:t>
      </w:r>
      <w:r w:rsidRPr="00FC6B61">
        <w:rPr>
          <w:rFonts w:cs="Arial"/>
          <w:lang w:val="x-none"/>
        </w:rPr>
        <w:t>prijeteće nesposobnosti za plaćanje</w:t>
      </w:r>
      <w:r w:rsidRPr="00FC6B61">
        <w:rPr>
          <w:rFonts w:cs="Arial"/>
        </w:rPr>
        <w:t>)</w:t>
      </w:r>
      <w:r w:rsidR="003E3394" w:rsidRPr="00FC6B61">
        <w:rPr>
          <w:rFonts w:cs="Arial"/>
        </w:rPr>
        <w:t>,</w:t>
      </w:r>
    </w:p>
    <w:p w:rsidR="001E55E7" w:rsidRPr="00FC6B61" w:rsidRDefault="001E55E7" w:rsidP="00FC6B61">
      <w:pPr>
        <w:pStyle w:val="Bezproreda"/>
        <w:jc w:val="both"/>
        <w:rPr>
          <w:rFonts w:cs="Arial"/>
        </w:rPr>
      </w:pPr>
      <w:r w:rsidRPr="00FC6B61">
        <w:rPr>
          <w:rFonts w:cs="Arial"/>
        </w:rPr>
        <w:tab/>
        <w:t xml:space="preserve">- </w:t>
      </w:r>
      <w:r w:rsidRPr="00FC6B61">
        <w:rPr>
          <w:rFonts w:cs="Arial"/>
          <w:lang w:val="x-none"/>
        </w:rPr>
        <w:t>izračun manjka likvidnih sredstava na dan priloženih financijskih izvještaja</w:t>
      </w:r>
      <w:r w:rsidR="003E3394" w:rsidRPr="00FC6B61">
        <w:rPr>
          <w:rFonts w:cs="Arial"/>
        </w:rPr>
        <w:t>,</w:t>
      </w:r>
    </w:p>
    <w:p w:rsidR="001E55E7" w:rsidRPr="00FC6B61" w:rsidRDefault="001E55E7" w:rsidP="00FC6B61">
      <w:pPr>
        <w:pStyle w:val="Bezproreda"/>
        <w:jc w:val="both"/>
        <w:rPr>
          <w:rFonts w:cs="Arial"/>
        </w:rPr>
      </w:pPr>
      <w:r w:rsidRPr="00FC6B61">
        <w:rPr>
          <w:rFonts w:cs="Arial"/>
        </w:rPr>
        <w:tab/>
        <w:t xml:space="preserve">- </w:t>
      </w:r>
      <w:r w:rsidRPr="00FC6B61">
        <w:rPr>
          <w:rFonts w:cs="Arial"/>
          <w:lang w:val="x-none"/>
        </w:rPr>
        <w:t>mjere financijskoga restrukturiranja i izračun njihovih učinaka na manjak likvidnih sredstava</w:t>
      </w:r>
      <w:r w:rsidR="003E3394" w:rsidRPr="00FC6B61">
        <w:rPr>
          <w:rFonts w:cs="Arial"/>
        </w:rPr>
        <w:t>,</w:t>
      </w:r>
    </w:p>
    <w:p w:rsidR="001E55E7" w:rsidRPr="00FC6B61" w:rsidRDefault="001E55E7" w:rsidP="00FC6B61">
      <w:pPr>
        <w:pStyle w:val="Bezproreda"/>
        <w:jc w:val="both"/>
        <w:rPr>
          <w:rFonts w:cs="Arial"/>
        </w:rPr>
      </w:pPr>
      <w:r w:rsidRPr="00FC6B61">
        <w:rPr>
          <w:rFonts w:cs="Arial"/>
        </w:rPr>
        <w:tab/>
        <w:t xml:space="preserve">- </w:t>
      </w:r>
      <w:r w:rsidRPr="00FC6B61">
        <w:rPr>
          <w:rFonts w:cs="Arial"/>
          <w:lang w:val="x-none"/>
        </w:rPr>
        <w:t>mjere operativnoga restrukturiranja i izračun njihovih učinaka na poslovanje</w:t>
      </w:r>
      <w:r w:rsidR="003E3394" w:rsidRPr="00FC6B61">
        <w:rPr>
          <w:rFonts w:cs="Arial"/>
        </w:rPr>
        <w:t>,</w:t>
      </w:r>
    </w:p>
    <w:p w:rsidR="001E55E7" w:rsidRPr="00FC6B61" w:rsidRDefault="001E55E7" w:rsidP="00FC6B61">
      <w:pPr>
        <w:pStyle w:val="Bezproreda"/>
        <w:jc w:val="both"/>
        <w:rPr>
          <w:rFonts w:cs="Arial"/>
        </w:rPr>
      </w:pPr>
      <w:r w:rsidRPr="00FC6B61">
        <w:rPr>
          <w:rFonts w:cs="Arial"/>
        </w:rPr>
        <w:tab/>
        <w:t>-</w:t>
      </w:r>
      <w:r w:rsidRPr="00FC6B61">
        <w:rPr>
          <w:rFonts w:cs="Arial"/>
          <w:lang w:val="x-none"/>
        </w:rPr>
        <w:t xml:space="preserve"> plan poslovanja za razdoblje do kraja tekuće i za dvije sljedeće kalendarske godine uz detaljno obrazloženje razloga za utvrđivanje svake pozicije plana</w:t>
      </w:r>
      <w:r w:rsidR="003E3394" w:rsidRPr="00FC6B61">
        <w:rPr>
          <w:rFonts w:cs="Arial"/>
        </w:rPr>
        <w:t>,</w:t>
      </w:r>
    </w:p>
    <w:p w:rsidR="001E55E7" w:rsidRPr="00FC6B61" w:rsidRDefault="001E55E7" w:rsidP="00FC6B61">
      <w:pPr>
        <w:pStyle w:val="Bezproreda"/>
        <w:jc w:val="both"/>
        <w:rPr>
          <w:rFonts w:cs="Arial"/>
        </w:rPr>
      </w:pPr>
      <w:r w:rsidRPr="00FC6B61">
        <w:rPr>
          <w:rFonts w:cs="Arial"/>
        </w:rPr>
        <w:tab/>
        <w:t>-</w:t>
      </w:r>
      <w:r w:rsidRPr="00FC6B61">
        <w:rPr>
          <w:rFonts w:cs="Arial"/>
          <w:lang w:val="x-none"/>
        </w:rPr>
        <w:t xml:space="preserve"> planiranu bilancu na zadnji dan razdoblja za koje je sastavljen plan poslovanja</w:t>
      </w:r>
      <w:r w:rsidR="003E3394" w:rsidRPr="00FC6B61">
        <w:rPr>
          <w:rFonts w:cs="Arial"/>
        </w:rPr>
        <w:t>,</w:t>
      </w:r>
    </w:p>
    <w:p w:rsidR="001E55E7" w:rsidRPr="00FC6B61" w:rsidRDefault="001E55E7" w:rsidP="00FC6B61">
      <w:pPr>
        <w:pStyle w:val="Bezproreda"/>
        <w:jc w:val="both"/>
        <w:rPr>
          <w:rFonts w:cs="Arial"/>
        </w:rPr>
      </w:pPr>
      <w:r w:rsidRPr="00FC6B61">
        <w:rPr>
          <w:rFonts w:cs="Arial"/>
        </w:rPr>
        <w:tab/>
        <w:t xml:space="preserve">- </w:t>
      </w:r>
      <w:r w:rsidRPr="00FC6B61">
        <w:rPr>
          <w:rFonts w:cs="Arial"/>
          <w:lang w:val="x-none"/>
        </w:rPr>
        <w:t xml:space="preserve">analizu svih tražbina prema visini i vrsti (tražbine radnika i prijašnjih dužnikovih radnika, izlučna prava, </w:t>
      </w:r>
      <w:proofErr w:type="spellStart"/>
      <w:r w:rsidRPr="00FC6B61">
        <w:rPr>
          <w:rFonts w:cs="Arial"/>
          <w:lang w:val="x-none"/>
        </w:rPr>
        <w:t>razlučna</w:t>
      </w:r>
      <w:proofErr w:type="spellEnd"/>
      <w:r w:rsidRPr="00FC6B61">
        <w:rPr>
          <w:rFonts w:cs="Arial"/>
          <w:lang w:val="x-none"/>
        </w:rPr>
        <w:t xml:space="preserve"> prava, tražbine za koje se vodi postupak, neosigurane tražbine i druge tražbine)</w:t>
      </w:r>
      <w:r w:rsidR="003E3394" w:rsidRPr="00FC6B61">
        <w:rPr>
          <w:rFonts w:cs="Arial"/>
        </w:rPr>
        <w:t>,</w:t>
      </w:r>
    </w:p>
    <w:p w:rsidR="001E55E7" w:rsidRPr="00FC6B61" w:rsidRDefault="001E55E7" w:rsidP="00FC6B61">
      <w:pPr>
        <w:pStyle w:val="Bezproreda"/>
        <w:jc w:val="both"/>
        <w:rPr>
          <w:rFonts w:cs="Arial"/>
        </w:rPr>
      </w:pPr>
      <w:r w:rsidRPr="00FC6B61">
        <w:rPr>
          <w:rFonts w:cs="Arial"/>
        </w:rPr>
        <w:tab/>
        <w:t xml:space="preserve">- </w:t>
      </w:r>
      <w:r w:rsidRPr="00FC6B61">
        <w:rPr>
          <w:rFonts w:cs="Arial"/>
          <w:lang w:val="x-none"/>
        </w:rPr>
        <w:t>ponudu vjerovnicima</w:t>
      </w:r>
      <w:r w:rsidR="003E3394" w:rsidRPr="00FC6B61">
        <w:rPr>
          <w:rFonts w:cs="Arial"/>
        </w:rPr>
        <w:t>,</w:t>
      </w:r>
      <w:r w:rsidRPr="00FC6B61">
        <w:rPr>
          <w:rFonts w:cs="Arial"/>
          <w:lang w:val="x-none"/>
        </w:rPr>
        <w:t xml:space="preserve"> razvrstanim u skupine odgovarajućom primjenom pravila o razvrstavanju sudionika u stečajnom planu </w:t>
      </w:r>
      <w:r w:rsidR="00FC6B61" w:rsidRPr="00FC6B61">
        <w:rPr>
          <w:rFonts w:cs="Arial"/>
        </w:rPr>
        <w:t xml:space="preserve">koja sadržava </w:t>
      </w:r>
      <w:r w:rsidRPr="00FC6B61">
        <w:rPr>
          <w:rFonts w:cs="Arial"/>
          <w:lang w:val="x-none"/>
        </w:rPr>
        <w:t>način</w:t>
      </w:r>
      <w:r w:rsidR="00FC6B61" w:rsidRPr="00FC6B61">
        <w:rPr>
          <w:rFonts w:cs="Arial"/>
        </w:rPr>
        <w:t>e</w:t>
      </w:r>
      <w:r w:rsidRPr="00FC6B61">
        <w:rPr>
          <w:rFonts w:cs="Arial"/>
          <w:lang w:val="x-none"/>
        </w:rPr>
        <w:t>, rokov</w:t>
      </w:r>
      <w:r w:rsidR="00FC6B61" w:rsidRPr="00FC6B61">
        <w:rPr>
          <w:rFonts w:cs="Arial"/>
        </w:rPr>
        <w:t>e</w:t>
      </w:r>
      <w:r w:rsidRPr="00FC6B61">
        <w:rPr>
          <w:rFonts w:cs="Arial"/>
          <w:lang w:val="x-none"/>
        </w:rPr>
        <w:t xml:space="preserve"> i uvjet</w:t>
      </w:r>
      <w:r w:rsidR="00FC6B61" w:rsidRPr="00FC6B61">
        <w:rPr>
          <w:rFonts w:cs="Arial"/>
        </w:rPr>
        <w:t>e</w:t>
      </w:r>
      <w:r w:rsidRPr="00FC6B61">
        <w:rPr>
          <w:rFonts w:cs="Arial"/>
          <w:lang w:val="x-none"/>
        </w:rPr>
        <w:t xml:space="preserve"> namirenja tražbina</w:t>
      </w:r>
      <w:r w:rsidR="003E3394" w:rsidRPr="00FC6B61">
        <w:rPr>
          <w:rFonts w:cs="Arial"/>
        </w:rPr>
        <w:t>,</w:t>
      </w:r>
    </w:p>
    <w:p w:rsidR="001E55E7" w:rsidRPr="00FC6B61" w:rsidRDefault="001E55E7" w:rsidP="00FC6B61">
      <w:pPr>
        <w:pStyle w:val="Bezproreda"/>
        <w:jc w:val="both"/>
        <w:rPr>
          <w:rFonts w:cs="Arial"/>
          <w:lang w:val="x-none"/>
        </w:rPr>
      </w:pPr>
      <w:r w:rsidRPr="00FC6B61">
        <w:rPr>
          <w:rFonts w:cs="Arial"/>
        </w:rPr>
        <w:tab/>
        <w:t>-</w:t>
      </w:r>
      <w:r w:rsidR="00FC6B61" w:rsidRPr="00FC6B61">
        <w:rPr>
          <w:rFonts w:cs="Arial"/>
        </w:rPr>
        <w:t xml:space="preserve"> najavu novog zaduženja u novcu radi privremenog financiranja, ako je dužnik takvu mjeru restrukturiranja predvidio,</w:t>
      </w:r>
      <w:r w:rsidRPr="00FC6B61">
        <w:rPr>
          <w:rFonts w:cs="Arial"/>
          <w:lang w:val="x-none"/>
        </w:rPr>
        <w:t xml:space="preserve"> i</w:t>
      </w:r>
    </w:p>
    <w:p w:rsidR="001E55E7" w:rsidRDefault="001E55E7" w:rsidP="00FC6B61">
      <w:pPr>
        <w:pStyle w:val="Bezproreda"/>
        <w:jc w:val="both"/>
        <w:rPr>
          <w:rFonts w:cs="Arial"/>
        </w:rPr>
      </w:pPr>
      <w:r w:rsidRPr="00FC6B61">
        <w:rPr>
          <w:rFonts w:cs="Arial"/>
        </w:rPr>
        <w:tab/>
        <w:t xml:space="preserve">- </w:t>
      </w:r>
      <w:r w:rsidRPr="00FC6B61">
        <w:rPr>
          <w:rFonts w:cs="Arial"/>
          <w:lang w:val="x-none"/>
        </w:rPr>
        <w:t>planirani iznos troškova restrukturiranja.</w:t>
      </w:r>
    </w:p>
    <w:p w:rsidR="000503B3" w:rsidRPr="000503B3" w:rsidRDefault="000503B3" w:rsidP="00FC6B61">
      <w:pPr>
        <w:pStyle w:val="Bezproreda"/>
        <w:jc w:val="both"/>
        <w:rPr>
          <w:rFonts w:cs="Arial"/>
        </w:rPr>
      </w:pPr>
    </w:p>
    <w:p w:rsidR="00844736" w:rsidRPr="000503B3" w:rsidRDefault="00844736" w:rsidP="000503B3">
      <w:pPr>
        <w:pStyle w:val="Bezproreda"/>
        <w:jc w:val="both"/>
        <w:rPr>
          <w:lang w:val="x-none"/>
        </w:rPr>
      </w:pPr>
      <w:r>
        <w:rPr>
          <w:rFonts w:ascii="Times New Roman" w:hAnsi="Times New Roman" w:cs="Times New Roman"/>
        </w:rPr>
        <w:tab/>
      </w:r>
      <w:r w:rsidR="00BE2BA0" w:rsidRPr="000503B3">
        <w:t xml:space="preserve">Ako </w:t>
      </w:r>
      <w:r w:rsidR="00FC6B61" w:rsidRPr="000503B3">
        <w:t xml:space="preserve">prijedlog </w:t>
      </w:r>
      <w:r w:rsidRPr="000503B3">
        <w:t>plan</w:t>
      </w:r>
      <w:r w:rsidR="00FC6B61" w:rsidRPr="000503B3">
        <w:t>a</w:t>
      </w:r>
      <w:r w:rsidR="001E55E7" w:rsidRPr="000503B3">
        <w:t xml:space="preserve"> restruk</w:t>
      </w:r>
      <w:r w:rsidR="00BE2BA0" w:rsidRPr="000503B3">
        <w:t>t</w:t>
      </w:r>
      <w:r w:rsidR="001E55E7" w:rsidRPr="000503B3">
        <w:t xml:space="preserve">uriranja ne </w:t>
      </w:r>
      <w:r w:rsidR="00FC6B61" w:rsidRPr="000503B3">
        <w:t>obuhvaća</w:t>
      </w:r>
      <w:r w:rsidR="001E55E7" w:rsidRPr="000503B3">
        <w:t xml:space="preserve"> sve utvrđene i osporene tražbine</w:t>
      </w:r>
      <w:r w:rsidR="00FC6B61" w:rsidRPr="000503B3">
        <w:t>,</w:t>
      </w:r>
      <w:r w:rsidR="001E55E7" w:rsidRPr="000503B3">
        <w:t xml:space="preserve"> dužnik je dužan u roku od </w:t>
      </w:r>
      <w:r w:rsidR="00FC6B61" w:rsidRPr="000503B3">
        <w:t xml:space="preserve">21 </w:t>
      </w:r>
      <w:r w:rsidR="001E55E7" w:rsidRPr="000503B3">
        <w:t xml:space="preserve">dana od </w:t>
      </w:r>
      <w:r w:rsidR="00FC6B61" w:rsidRPr="000503B3">
        <w:t>dostave odluke drugostupanjskog suda o žalbi protiv rješenja o utvrđenim i osporenim tražbinama dostaviti sudu prijedlog plana restrukturiranja kojim su obuhvaćene s</w:t>
      </w:r>
      <w:r w:rsidR="00F4635D">
        <w:t>ve utvrđene i osporene tražbine</w:t>
      </w:r>
      <w:r w:rsidR="000503B3" w:rsidRPr="000503B3">
        <w:t>. Na sadržaj novog prijedloga plana restrukturiranja na odgovarajući način primjenjuje se odredba članka 27. SZ-a</w:t>
      </w:r>
      <w:r w:rsidRPr="000503B3">
        <w:rPr>
          <w:rStyle w:val="Referencafusnote"/>
          <w:rFonts w:cs="Arial"/>
          <w:szCs w:val="24"/>
        </w:rPr>
        <w:footnoteReference w:id="214"/>
      </w:r>
      <w:r w:rsidRPr="000503B3">
        <w:t xml:space="preserve">. </w:t>
      </w:r>
      <w:r w:rsidR="009B6F97" w:rsidRPr="000503B3">
        <w:t>Izmijenjeni</w:t>
      </w:r>
      <w:r w:rsidRPr="000503B3">
        <w:t xml:space="preserve"> </w:t>
      </w:r>
      <w:r w:rsidR="00FC6B61" w:rsidRPr="000503B3">
        <w:t xml:space="preserve">prijedlog </w:t>
      </w:r>
      <w:r w:rsidRPr="000503B3">
        <w:t>plan</w:t>
      </w:r>
      <w:r w:rsidR="00FC6B61" w:rsidRPr="000503B3">
        <w:t>a</w:t>
      </w:r>
      <w:r w:rsidRPr="000503B3">
        <w:t xml:space="preserve"> restrukturiranja</w:t>
      </w:r>
      <w:r w:rsidRPr="000503B3">
        <w:rPr>
          <w:lang w:val="x-none"/>
        </w:rPr>
        <w:t xml:space="preserve"> sud će objaviti na mrežnoj stranici e-Oglasna ploča sudova u roku od tri dana od dana primitka</w:t>
      </w:r>
      <w:r w:rsidRPr="000503B3">
        <w:rPr>
          <w:rStyle w:val="Referencafusnote"/>
          <w:rFonts w:cs="Arial"/>
          <w:szCs w:val="24"/>
          <w:lang w:val="x-none"/>
        </w:rPr>
        <w:footnoteReference w:id="215"/>
      </w:r>
      <w:r w:rsidRPr="000503B3">
        <w:rPr>
          <w:lang w:val="x-none"/>
        </w:rPr>
        <w:t>.</w:t>
      </w:r>
      <w:r w:rsidRPr="000503B3">
        <w:t xml:space="preserve"> </w:t>
      </w:r>
      <w:r w:rsidRPr="000503B3">
        <w:rPr>
          <w:lang w:val="x-none"/>
        </w:rPr>
        <w:t xml:space="preserve">Ako dužnik ne dostavi </w:t>
      </w:r>
      <w:r w:rsidRPr="000503B3">
        <w:t xml:space="preserve">izmijenjeni </w:t>
      </w:r>
      <w:r w:rsidRPr="000503B3">
        <w:rPr>
          <w:lang w:val="x-none"/>
        </w:rPr>
        <w:t>plan restrukturiranja, sud će obustaviti postupak</w:t>
      </w:r>
      <w:r w:rsidRPr="000503B3">
        <w:t xml:space="preserve"> te nastaviti postupak </w:t>
      </w:r>
      <w:r w:rsidRPr="000503B3">
        <w:rPr>
          <w:lang w:val="x-none"/>
        </w:rPr>
        <w:t>kao da je podnesen prijedlog za otvaranje stečajnog postupka, osim ako utvrdi da je dužnik sposoban za plaćanje i da je ispunio sve obveze prema vjerovnicima</w:t>
      </w:r>
      <w:r w:rsidRPr="000503B3">
        <w:rPr>
          <w:rStyle w:val="Referencafusnote"/>
          <w:rFonts w:cs="Arial"/>
          <w:szCs w:val="24"/>
          <w:lang w:val="x-none"/>
        </w:rPr>
        <w:footnoteReference w:id="216"/>
      </w:r>
      <w:r w:rsidRPr="000503B3">
        <w:rPr>
          <w:lang w:val="x-none"/>
        </w:rPr>
        <w:t>.</w:t>
      </w:r>
    </w:p>
    <w:p w:rsidR="003E3394" w:rsidRPr="000503B3" w:rsidRDefault="00844736" w:rsidP="003E3394">
      <w:pPr>
        <w:autoSpaceDE w:val="0"/>
        <w:autoSpaceDN w:val="0"/>
        <w:adjustRightInd w:val="0"/>
        <w:spacing w:before="150" w:after="150" w:line="240" w:lineRule="auto"/>
        <w:ind w:firstLine="705"/>
        <w:jc w:val="both"/>
        <w:rPr>
          <w:rFonts w:ascii="Arial" w:hAnsi="Arial" w:cs="Arial"/>
          <w:sz w:val="24"/>
          <w:szCs w:val="24"/>
        </w:rPr>
      </w:pPr>
      <w:r>
        <w:rPr>
          <w:rFonts w:ascii="Times New Roman" w:hAnsi="Times New Roman" w:cs="Times New Roman"/>
          <w:sz w:val="24"/>
          <w:szCs w:val="24"/>
        </w:rPr>
        <w:tab/>
      </w:r>
      <w:r w:rsidR="003E3394" w:rsidRPr="000503B3">
        <w:rPr>
          <w:rFonts w:ascii="Arial" w:hAnsi="Arial" w:cs="Arial"/>
          <w:sz w:val="24"/>
          <w:szCs w:val="24"/>
        </w:rPr>
        <w:t>K</w:t>
      </w:r>
      <w:proofErr w:type="spellStart"/>
      <w:r w:rsidR="003E3394" w:rsidRPr="000503B3">
        <w:rPr>
          <w:rFonts w:ascii="Arial" w:hAnsi="Arial" w:cs="Arial"/>
          <w:sz w:val="24"/>
          <w:szCs w:val="24"/>
          <w:lang w:val="x-none"/>
        </w:rPr>
        <w:t>reditn</w:t>
      </w:r>
      <w:r w:rsidR="003E3394" w:rsidRPr="000503B3">
        <w:rPr>
          <w:rFonts w:ascii="Arial" w:hAnsi="Arial" w:cs="Arial"/>
          <w:sz w:val="24"/>
          <w:szCs w:val="24"/>
        </w:rPr>
        <w:t>a</w:t>
      </w:r>
      <w:proofErr w:type="spellEnd"/>
      <w:r w:rsidR="003E3394" w:rsidRPr="000503B3">
        <w:rPr>
          <w:rFonts w:ascii="Arial" w:hAnsi="Arial" w:cs="Arial"/>
          <w:sz w:val="24"/>
          <w:szCs w:val="24"/>
          <w:lang w:val="x-none"/>
        </w:rPr>
        <w:t xml:space="preserve"> institucija, prije zakazivanja ročišta za glasovanje</w:t>
      </w:r>
      <w:r w:rsidR="003E3394" w:rsidRPr="000503B3">
        <w:rPr>
          <w:rFonts w:ascii="Arial" w:hAnsi="Arial" w:cs="Arial"/>
          <w:sz w:val="24"/>
          <w:szCs w:val="24"/>
        </w:rPr>
        <w:t xml:space="preserve">, </w:t>
      </w:r>
      <w:r w:rsidR="003E3394" w:rsidRPr="000503B3">
        <w:rPr>
          <w:rFonts w:ascii="Arial" w:hAnsi="Arial" w:cs="Arial"/>
          <w:sz w:val="24"/>
          <w:szCs w:val="24"/>
          <w:lang w:val="x-none"/>
        </w:rPr>
        <w:t xml:space="preserve">dužna je zatražiti prethodnu suglasnost Hrvatske narodne banke za pretvaranje tražbina kreditne institucije u temeljni kapital dužnika u </w:t>
      </w:r>
      <w:proofErr w:type="spellStart"/>
      <w:r w:rsidR="003E3394" w:rsidRPr="000503B3">
        <w:rPr>
          <w:rFonts w:ascii="Arial" w:hAnsi="Arial" w:cs="Arial"/>
          <w:sz w:val="24"/>
          <w:szCs w:val="24"/>
          <w:lang w:val="x-none"/>
        </w:rPr>
        <w:t>predstečajnom</w:t>
      </w:r>
      <w:proofErr w:type="spellEnd"/>
      <w:r w:rsidR="003E3394" w:rsidRPr="000503B3">
        <w:rPr>
          <w:rFonts w:ascii="Arial" w:hAnsi="Arial" w:cs="Arial"/>
          <w:sz w:val="24"/>
          <w:szCs w:val="24"/>
          <w:lang w:val="x-none"/>
        </w:rPr>
        <w:t xml:space="preserve"> postupku</w:t>
      </w:r>
      <w:r w:rsidR="003E3394" w:rsidRPr="000503B3">
        <w:rPr>
          <w:rFonts w:ascii="Arial" w:hAnsi="Arial" w:cs="Arial"/>
          <w:sz w:val="24"/>
          <w:szCs w:val="24"/>
        </w:rPr>
        <w:t xml:space="preserve"> a</w:t>
      </w:r>
      <w:proofErr w:type="spellStart"/>
      <w:r w:rsidR="003E3394" w:rsidRPr="000503B3">
        <w:rPr>
          <w:rFonts w:ascii="Arial" w:hAnsi="Arial" w:cs="Arial"/>
          <w:sz w:val="24"/>
          <w:szCs w:val="24"/>
          <w:lang w:val="x-none"/>
        </w:rPr>
        <w:t>ko</w:t>
      </w:r>
      <w:proofErr w:type="spellEnd"/>
      <w:r w:rsidR="003E3394" w:rsidRPr="000503B3">
        <w:rPr>
          <w:rFonts w:ascii="Arial" w:hAnsi="Arial" w:cs="Arial"/>
          <w:sz w:val="24"/>
          <w:szCs w:val="24"/>
          <w:lang w:val="x-none"/>
        </w:rPr>
        <w:t xml:space="preserve"> je planom restrukturiranja predloženo pretvaranje tražbine kreditne institucije u temeljni kapital dužnika kojim kreditna institucija stječe udio od 20% i više u dužniku, a koji je veći od 10% priznatog kapitala kreditne institucije, odnosno stječe većinski udio u kapitalu ili većinsko pravo odlučivanja sukladno propisima kojima se uređuje poslovanje. Uz </w:t>
      </w:r>
      <w:r w:rsidR="003E3394" w:rsidRPr="000503B3">
        <w:rPr>
          <w:rFonts w:ascii="Arial" w:hAnsi="Arial" w:cs="Arial"/>
          <w:sz w:val="24"/>
          <w:szCs w:val="24"/>
          <w:lang w:val="x-none"/>
        </w:rPr>
        <w:lastRenderedPageBreak/>
        <w:t>obrazloženi zahtjev za izdavanje prethodne suglasnosti kreditna institucija dužna je priložiti plan restrukturiranja. O izdavanju prethodne suglasnosti Hrvatska narodna banka dužna je odlučiti u roku od osam dana od dana primitka zahtjeva. Odluka mora biti obrazložena.</w:t>
      </w:r>
      <w:r w:rsidR="003E3394" w:rsidRPr="000503B3">
        <w:rPr>
          <w:rFonts w:ascii="Arial" w:hAnsi="Arial" w:cs="Arial"/>
          <w:sz w:val="24"/>
          <w:szCs w:val="24"/>
        </w:rPr>
        <w:t xml:space="preserve"> Međutim, p</w:t>
      </w:r>
      <w:proofErr w:type="spellStart"/>
      <w:r w:rsidR="003E3394" w:rsidRPr="000503B3">
        <w:rPr>
          <w:rFonts w:ascii="Arial" w:hAnsi="Arial" w:cs="Arial"/>
          <w:sz w:val="24"/>
          <w:szCs w:val="24"/>
          <w:lang w:val="x-none"/>
        </w:rPr>
        <w:t>rethodna</w:t>
      </w:r>
      <w:proofErr w:type="spellEnd"/>
      <w:r w:rsidR="003E3394" w:rsidRPr="000503B3">
        <w:rPr>
          <w:rFonts w:ascii="Arial" w:hAnsi="Arial" w:cs="Arial"/>
          <w:sz w:val="24"/>
          <w:szCs w:val="24"/>
          <w:lang w:val="x-none"/>
        </w:rPr>
        <w:t xml:space="preserve"> suglasnost </w:t>
      </w:r>
      <w:r w:rsidR="003E3394" w:rsidRPr="000503B3">
        <w:rPr>
          <w:rFonts w:ascii="Arial" w:hAnsi="Arial" w:cs="Arial"/>
          <w:sz w:val="24"/>
          <w:szCs w:val="24"/>
        </w:rPr>
        <w:t xml:space="preserve">HNB-a </w:t>
      </w:r>
      <w:r w:rsidR="003E3394" w:rsidRPr="000503B3">
        <w:rPr>
          <w:rFonts w:ascii="Arial" w:hAnsi="Arial" w:cs="Arial"/>
          <w:sz w:val="24"/>
          <w:szCs w:val="24"/>
          <w:lang w:val="x-none"/>
        </w:rPr>
        <w:t>ne obvezuje kreditnu instituciju na ročištu za glasovanje</w:t>
      </w:r>
      <w:r w:rsidR="003E3394" w:rsidRPr="000503B3">
        <w:rPr>
          <w:rFonts w:ascii="Arial" w:hAnsi="Arial" w:cs="Arial"/>
          <w:sz w:val="24"/>
          <w:szCs w:val="24"/>
        </w:rPr>
        <w:t>, što znači da kreditna institucija može glasati protiv plana restrukturiranja iako ima prethodnu suglasnost HNB-a.</w:t>
      </w:r>
    </w:p>
    <w:p w:rsidR="007A0B79" w:rsidRPr="000503B3" w:rsidRDefault="003E3394" w:rsidP="00844736">
      <w:pPr>
        <w:autoSpaceDE w:val="0"/>
        <w:autoSpaceDN w:val="0"/>
        <w:adjustRightInd w:val="0"/>
        <w:spacing w:before="120" w:after="120" w:line="240" w:lineRule="auto"/>
        <w:jc w:val="both"/>
        <w:rPr>
          <w:rFonts w:ascii="Arial" w:hAnsi="Arial" w:cs="Arial"/>
          <w:sz w:val="24"/>
          <w:szCs w:val="24"/>
        </w:rPr>
      </w:pPr>
      <w:r>
        <w:rPr>
          <w:rFonts w:ascii="Times New Roman" w:hAnsi="Times New Roman" w:cs="Times New Roman"/>
          <w:sz w:val="24"/>
          <w:szCs w:val="24"/>
        </w:rPr>
        <w:tab/>
      </w:r>
      <w:r w:rsidR="00844736" w:rsidRPr="000503B3">
        <w:rPr>
          <w:rFonts w:ascii="Arial" w:hAnsi="Arial" w:cs="Arial"/>
          <w:sz w:val="24"/>
          <w:szCs w:val="24"/>
        </w:rPr>
        <w:t>Prije ročišta za glasovanje sud mora utvrditi da li po</w:t>
      </w:r>
      <w:r w:rsidRPr="000503B3">
        <w:rPr>
          <w:rFonts w:ascii="Arial" w:hAnsi="Arial" w:cs="Arial"/>
          <w:sz w:val="24"/>
          <w:szCs w:val="24"/>
        </w:rPr>
        <w:t>stoji prethodna</w:t>
      </w:r>
      <w:r w:rsidR="00844736" w:rsidRPr="000503B3">
        <w:rPr>
          <w:rFonts w:ascii="Arial" w:hAnsi="Arial" w:cs="Arial"/>
          <w:sz w:val="24"/>
          <w:szCs w:val="24"/>
        </w:rPr>
        <w:t xml:space="preserve"> suglasnosti za određene tražbine. Takva suglasnost potrebna </w:t>
      </w:r>
      <w:r w:rsidRPr="000503B3">
        <w:rPr>
          <w:rFonts w:ascii="Arial" w:hAnsi="Arial" w:cs="Arial"/>
          <w:sz w:val="24"/>
          <w:szCs w:val="24"/>
        </w:rPr>
        <w:t>je</w:t>
      </w:r>
      <w:r w:rsidR="00BE2BA0" w:rsidRPr="000503B3">
        <w:rPr>
          <w:rFonts w:ascii="Arial" w:hAnsi="Arial" w:cs="Arial"/>
          <w:sz w:val="24"/>
          <w:szCs w:val="24"/>
        </w:rPr>
        <w:t xml:space="preserve"> </w:t>
      </w:r>
      <w:r w:rsidR="00844736" w:rsidRPr="000503B3">
        <w:rPr>
          <w:rFonts w:ascii="Arial" w:hAnsi="Arial" w:cs="Arial"/>
          <w:sz w:val="24"/>
          <w:szCs w:val="24"/>
        </w:rPr>
        <w:t xml:space="preserve">za pretvaranje tražbina kreditnih institucija u temeljni kapital </w:t>
      </w:r>
      <w:proofErr w:type="spellStart"/>
      <w:r w:rsidR="00844736" w:rsidRPr="000503B3">
        <w:rPr>
          <w:rFonts w:ascii="Arial" w:hAnsi="Arial" w:cs="Arial"/>
          <w:sz w:val="24"/>
          <w:szCs w:val="24"/>
        </w:rPr>
        <w:t>predstečajnog</w:t>
      </w:r>
      <w:r w:rsidR="009B6F97" w:rsidRPr="000503B3">
        <w:rPr>
          <w:rFonts w:ascii="Arial" w:hAnsi="Arial" w:cs="Arial"/>
          <w:sz w:val="24"/>
          <w:szCs w:val="24"/>
        </w:rPr>
        <w:t>a</w:t>
      </w:r>
      <w:proofErr w:type="spellEnd"/>
      <w:r w:rsidR="00844736" w:rsidRPr="000503B3">
        <w:rPr>
          <w:rFonts w:ascii="Arial" w:hAnsi="Arial" w:cs="Arial"/>
          <w:sz w:val="24"/>
          <w:szCs w:val="24"/>
        </w:rPr>
        <w:t xml:space="preserve"> dužnika</w:t>
      </w:r>
      <w:r w:rsidR="00844736" w:rsidRPr="000503B3">
        <w:rPr>
          <w:rStyle w:val="Referencafusnote"/>
          <w:rFonts w:ascii="Arial" w:hAnsi="Arial" w:cs="Arial"/>
          <w:sz w:val="24"/>
          <w:szCs w:val="24"/>
        </w:rPr>
        <w:footnoteReference w:id="217"/>
      </w:r>
      <w:r w:rsidRPr="000503B3">
        <w:rPr>
          <w:rFonts w:ascii="Arial" w:hAnsi="Arial" w:cs="Arial"/>
          <w:sz w:val="24"/>
          <w:szCs w:val="24"/>
        </w:rPr>
        <w:t>. A</w:t>
      </w:r>
      <w:proofErr w:type="spellStart"/>
      <w:r w:rsidRPr="000503B3">
        <w:rPr>
          <w:rFonts w:ascii="Arial" w:hAnsi="Arial" w:cs="Arial"/>
          <w:sz w:val="24"/>
          <w:szCs w:val="24"/>
          <w:lang w:val="x-none"/>
        </w:rPr>
        <w:t>ko</w:t>
      </w:r>
      <w:proofErr w:type="spellEnd"/>
      <w:r w:rsidRPr="000503B3">
        <w:rPr>
          <w:rFonts w:ascii="Arial" w:hAnsi="Arial" w:cs="Arial"/>
          <w:sz w:val="24"/>
          <w:szCs w:val="24"/>
          <w:lang w:val="x-none"/>
        </w:rPr>
        <w:t xml:space="preserve"> Hrvatska narodna banka ne izda prethodnu suglasnost za pretvaranje tražbine kreditne institucije u temeljni kapital dužnika</w:t>
      </w:r>
      <w:r w:rsidRPr="000503B3">
        <w:rPr>
          <w:rFonts w:ascii="Arial" w:hAnsi="Arial" w:cs="Arial"/>
          <w:sz w:val="24"/>
          <w:szCs w:val="24"/>
        </w:rPr>
        <w:t xml:space="preserve"> sud će obustaviti </w:t>
      </w:r>
      <w:proofErr w:type="spellStart"/>
      <w:r w:rsidRPr="000503B3">
        <w:rPr>
          <w:rFonts w:ascii="Arial" w:hAnsi="Arial" w:cs="Arial"/>
          <w:sz w:val="24"/>
          <w:szCs w:val="24"/>
        </w:rPr>
        <w:t>predstečajn</w:t>
      </w:r>
      <w:r w:rsidR="00BE2BA0" w:rsidRPr="000503B3">
        <w:rPr>
          <w:rFonts w:ascii="Arial" w:hAnsi="Arial" w:cs="Arial"/>
          <w:sz w:val="24"/>
          <w:szCs w:val="24"/>
        </w:rPr>
        <w:t>i</w:t>
      </w:r>
      <w:proofErr w:type="spellEnd"/>
      <w:r w:rsidR="00BE2BA0" w:rsidRPr="000503B3">
        <w:rPr>
          <w:rFonts w:ascii="Arial" w:hAnsi="Arial" w:cs="Arial"/>
          <w:sz w:val="24"/>
          <w:szCs w:val="24"/>
        </w:rPr>
        <w:t xml:space="preserve"> postupak</w:t>
      </w:r>
      <w:r w:rsidR="00BE2BA0" w:rsidRPr="000503B3">
        <w:rPr>
          <w:rStyle w:val="Referencafusnote"/>
          <w:rFonts w:ascii="Arial" w:hAnsi="Arial" w:cs="Arial"/>
          <w:sz w:val="24"/>
          <w:szCs w:val="24"/>
        </w:rPr>
        <w:footnoteReference w:id="218"/>
      </w:r>
      <w:r w:rsidR="00BE2BA0" w:rsidRPr="000503B3">
        <w:rPr>
          <w:rFonts w:ascii="Arial" w:hAnsi="Arial" w:cs="Arial"/>
          <w:sz w:val="24"/>
          <w:szCs w:val="24"/>
        </w:rPr>
        <w:t>.</w:t>
      </w:r>
      <w:r w:rsidR="007A0B79" w:rsidRPr="000503B3">
        <w:rPr>
          <w:rFonts w:ascii="Arial" w:hAnsi="Arial" w:cs="Arial"/>
          <w:sz w:val="24"/>
          <w:szCs w:val="24"/>
        </w:rPr>
        <w:t xml:space="preserve"> </w:t>
      </w:r>
    </w:p>
    <w:p w:rsidR="009C6536" w:rsidRPr="000503B3" w:rsidRDefault="00697A51" w:rsidP="000503B3">
      <w:pPr>
        <w:pStyle w:val="Bezproreda"/>
        <w:jc w:val="both"/>
      </w:pPr>
      <w:r>
        <w:rPr>
          <w:rFonts w:ascii="Times New Roman" w:hAnsi="Times New Roman" w:cs="Times New Roman"/>
        </w:rPr>
        <w:tab/>
      </w:r>
      <w:r w:rsidRPr="000503B3">
        <w:t>Ako je planom restrukturiranja predloženo smanjenje tražbine Republike Hrvatske, nadležno državno odvjetništvo dužno je zatražiti prethodnu suglasnost ministra nadležnog za financije, odnosno čelnika državnoga tijela iz čijeg djelokruga proizlazi tražbina. O izdavanju prethodne suglasnosti, ministar nadležan za financije, odnosno čelnik državnoga tijela iz čijeg djelokruga proizlazi tražbina dužan je odlučiti u roku od osam dana od dana primitka zahtjeva.</w:t>
      </w:r>
      <w:r w:rsidR="000503B3">
        <w:rPr>
          <w:rStyle w:val="Referencafusnote"/>
        </w:rPr>
        <w:footnoteReference w:id="219"/>
      </w:r>
      <w:r w:rsidRPr="000503B3">
        <w:t xml:space="preserve"> </w:t>
      </w:r>
      <w:r w:rsidR="002537A8" w:rsidRPr="000503B3">
        <w:t>Međutim, sud nije dužan utvrđivati jeli državno odvjetništvo zatražilo suglasnost i jeli ju dobilo.</w:t>
      </w:r>
    </w:p>
    <w:p w:rsidR="000A6239" w:rsidRDefault="000A6239" w:rsidP="00697A51">
      <w:pPr>
        <w:autoSpaceDE w:val="0"/>
        <w:autoSpaceDN w:val="0"/>
        <w:adjustRightInd w:val="0"/>
        <w:spacing w:before="120" w:after="120" w:line="240" w:lineRule="auto"/>
        <w:jc w:val="both"/>
        <w:rPr>
          <w:rFonts w:ascii="Times New Roman" w:hAnsi="Times New Roman" w:cs="Times New Roman"/>
          <w:sz w:val="24"/>
          <w:szCs w:val="24"/>
        </w:rPr>
      </w:pPr>
    </w:p>
    <w:p w:rsidR="001E55E7" w:rsidRPr="00281FC4" w:rsidRDefault="00281FC4" w:rsidP="00281FC4">
      <w:pPr>
        <w:pStyle w:val="Naslov2"/>
        <w:rPr>
          <w:i/>
        </w:rPr>
      </w:pPr>
      <w:bookmarkStart w:id="40" w:name="_Toc507067637"/>
      <w:r>
        <w:rPr>
          <w:rFonts w:ascii="Times New Roman" w:hAnsi="Times New Roman" w:cs="Times New Roman"/>
        </w:rPr>
        <w:t xml:space="preserve">3.2. </w:t>
      </w:r>
      <w:r w:rsidR="00DA400A" w:rsidRPr="00281FC4">
        <w:rPr>
          <w:rFonts w:ascii="Times New Roman" w:hAnsi="Times New Roman" w:cs="Times New Roman"/>
        </w:rPr>
        <w:t xml:space="preserve"> </w:t>
      </w:r>
      <w:r w:rsidR="00697A51" w:rsidRPr="00281FC4">
        <w:t xml:space="preserve">Ročište za glasovanje o </w:t>
      </w:r>
      <w:r w:rsidR="00F4635D" w:rsidRPr="00281FC4">
        <w:t xml:space="preserve">prijedlogu </w:t>
      </w:r>
      <w:r w:rsidR="00697A51" w:rsidRPr="00281FC4">
        <w:t>planu restrukturiranja</w:t>
      </w:r>
      <w:bookmarkEnd w:id="40"/>
    </w:p>
    <w:p w:rsidR="00F4635D" w:rsidRPr="00F4635D" w:rsidRDefault="00F4635D" w:rsidP="00F4635D">
      <w:pPr>
        <w:pStyle w:val="Odlomakpopisa"/>
        <w:autoSpaceDE w:val="0"/>
        <w:autoSpaceDN w:val="0"/>
        <w:adjustRightInd w:val="0"/>
        <w:spacing w:before="120" w:after="120" w:line="240" w:lineRule="auto"/>
        <w:ind w:left="1353"/>
        <w:jc w:val="both"/>
        <w:rPr>
          <w:rFonts w:ascii="Arial" w:hAnsi="Arial" w:cs="Arial"/>
          <w:b/>
          <w:i/>
          <w:sz w:val="24"/>
          <w:szCs w:val="24"/>
        </w:rPr>
      </w:pPr>
    </w:p>
    <w:p w:rsidR="00697A51" w:rsidRDefault="00697A51" w:rsidP="00F4635D">
      <w:pPr>
        <w:pStyle w:val="Bezproreda"/>
        <w:jc w:val="both"/>
      </w:pPr>
      <w:r>
        <w:rPr>
          <w:rFonts w:ascii="Times New Roman" w:hAnsi="Times New Roman" w:cs="Times New Roman"/>
        </w:rPr>
        <w:tab/>
      </w:r>
      <w:r w:rsidRPr="00F4635D">
        <w:t>Ročište za glasovanje mora se održati najkasnije 30 dana od dana pravomoćnosti rješenja o utvrđenim i osporenim tražbinama. Poziv za ročište za glasovanje objavit će se na mrežnoj stranici e-Oglasna ploča sudova</w:t>
      </w:r>
      <w:r w:rsidR="00084DC2" w:rsidRPr="00F4635D">
        <w:rPr>
          <w:rStyle w:val="Referencafusnote"/>
          <w:rFonts w:cs="Arial"/>
          <w:szCs w:val="24"/>
          <w:lang w:val="x-none"/>
        </w:rPr>
        <w:footnoteReference w:id="220"/>
      </w:r>
      <w:r w:rsidRPr="00F4635D">
        <w:t>.</w:t>
      </w:r>
    </w:p>
    <w:p w:rsidR="00F4635D" w:rsidRPr="00F4635D" w:rsidRDefault="00F4635D" w:rsidP="00F4635D">
      <w:pPr>
        <w:pStyle w:val="Bezproreda"/>
        <w:jc w:val="both"/>
      </w:pPr>
    </w:p>
    <w:p w:rsidR="00697A51" w:rsidRDefault="00697A51" w:rsidP="00F4635D">
      <w:pPr>
        <w:pStyle w:val="Bezproreda"/>
        <w:jc w:val="both"/>
      </w:pPr>
      <w:r>
        <w:rPr>
          <w:rFonts w:ascii="Times New Roman" w:hAnsi="Times New Roman" w:cs="Times New Roman"/>
        </w:rPr>
        <w:tab/>
      </w:r>
      <w:r w:rsidRPr="00F4635D">
        <w:t xml:space="preserve">Na ročištu za glasovanje dužnik izlaže </w:t>
      </w:r>
      <w:r w:rsidR="00F4635D" w:rsidRPr="00F4635D">
        <w:t xml:space="preserve">prijedlog </w:t>
      </w:r>
      <w:r w:rsidRPr="00F4635D">
        <w:t>plan</w:t>
      </w:r>
      <w:r w:rsidR="00D44117">
        <w:t>a</w:t>
      </w:r>
      <w:r w:rsidRPr="00F4635D">
        <w:t xml:space="preserve"> restrukturiranja. Nakon izlaganja dužnika o </w:t>
      </w:r>
      <w:r w:rsidR="00F4635D" w:rsidRPr="00F4635D">
        <w:t xml:space="preserve">prijedlogu </w:t>
      </w:r>
      <w:r w:rsidRPr="00F4635D">
        <w:t>plan</w:t>
      </w:r>
      <w:r w:rsidR="00F4635D" w:rsidRPr="00F4635D">
        <w:t>a</w:t>
      </w:r>
      <w:r w:rsidRPr="00F4635D">
        <w:t xml:space="preserve"> restrukturiranja očituje se povjerenik. O dužnikovim pr</w:t>
      </w:r>
      <w:r w:rsidR="009B6F97" w:rsidRPr="00F4635D">
        <w:t>i</w:t>
      </w:r>
      <w:r w:rsidRPr="00F4635D">
        <w:t>jedlozima otvara se rasprava u kojoj imaju pravo sudjelovati vjerovnici, dužnik i povjerenik. O prijedlozima vjerovnika izneseni</w:t>
      </w:r>
      <w:r w:rsidR="009C6536" w:rsidRPr="00F4635D">
        <w:t xml:space="preserve">m na ročištu u </w:t>
      </w:r>
      <w:r w:rsidRPr="00F4635D">
        <w:t>vezi s izmjenama predloženoga plana restrukturiranja očituje se dužnik</w:t>
      </w:r>
      <w:r w:rsidR="00084DC2" w:rsidRPr="00F4635D">
        <w:rPr>
          <w:rStyle w:val="Referencafusnote"/>
          <w:rFonts w:cs="Arial"/>
          <w:szCs w:val="24"/>
          <w:lang w:val="x-none"/>
        </w:rPr>
        <w:footnoteReference w:id="221"/>
      </w:r>
      <w:r w:rsidRPr="00F4635D">
        <w:t>.</w:t>
      </w:r>
    </w:p>
    <w:p w:rsidR="00F4635D" w:rsidRPr="00F4635D" w:rsidRDefault="00F4635D" w:rsidP="00F4635D">
      <w:pPr>
        <w:pStyle w:val="Bezproreda"/>
        <w:jc w:val="both"/>
      </w:pPr>
    </w:p>
    <w:p w:rsidR="00697A51" w:rsidRDefault="00697A51" w:rsidP="00F4635D">
      <w:pPr>
        <w:pStyle w:val="Bezproreda"/>
        <w:jc w:val="both"/>
      </w:pPr>
      <w:r w:rsidRPr="00F4635D">
        <w:tab/>
        <w:t xml:space="preserve">Vjerovnici odlučuju o </w:t>
      </w:r>
      <w:r w:rsidR="00F4635D" w:rsidRPr="00F4635D">
        <w:t xml:space="preserve">prijedlogu </w:t>
      </w:r>
      <w:r w:rsidRPr="00F4635D">
        <w:t>planu restrukturiranja glasovanjem</w:t>
      </w:r>
      <w:r w:rsidR="00084DC2" w:rsidRPr="00F4635D">
        <w:rPr>
          <w:rStyle w:val="Referencafusnote"/>
          <w:rFonts w:cs="Arial"/>
          <w:szCs w:val="24"/>
          <w:lang w:val="x-none"/>
        </w:rPr>
        <w:footnoteReference w:id="222"/>
      </w:r>
      <w:r w:rsidRPr="00F4635D">
        <w:t>.</w:t>
      </w:r>
    </w:p>
    <w:p w:rsidR="00F4635D" w:rsidRPr="00F4635D" w:rsidRDefault="00F4635D" w:rsidP="00F4635D">
      <w:pPr>
        <w:pStyle w:val="Bezproreda"/>
        <w:jc w:val="both"/>
      </w:pPr>
    </w:p>
    <w:p w:rsidR="001D12A1" w:rsidRPr="00F4635D" w:rsidRDefault="00546312" w:rsidP="00F4635D">
      <w:pPr>
        <w:pStyle w:val="Bezproreda"/>
        <w:jc w:val="both"/>
      </w:pPr>
      <w:r>
        <w:rPr>
          <w:rFonts w:ascii="Times New Roman" w:hAnsi="Times New Roman" w:cs="Times New Roman"/>
        </w:rPr>
        <w:tab/>
      </w:r>
      <w:r w:rsidR="00697A51" w:rsidRPr="00F4635D">
        <w:t xml:space="preserve">Na pravo glasa vjerovnika za glasovanje o planu restrukturiranja na odgovarajući način </w:t>
      </w:r>
      <w:r w:rsidRPr="00F4635D">
        <w:t xml:space="preserve">se </w:t>
      </w:r>
      <w:r w:rsidR="00697A51" w:rsidRPr="00F4635D">
        <w:t xml:space="preserve">primjenjuju pravila </w:t>
      </w:r>
      <w:r w:rsidRPr="00F4635D">
        <w:t>Stečajnog z</w:t>
      </w:r>
      <w:r w:rsidR="00697A51" w:rsidRPr="00F4635D">
        <w:t>akona o utvrđivanju prava glasa u stečajnom planu</w:t>
      </w:r>
      <w:r w:rsidR="003B5ABF" w:rsidRPr="00F4635D">
        <w:rPr>
          <w:rStyle w:val="Referencafusnote"/>
          <w:rFonts w:cs="Arial"/>
          <w:szCs w:val="24"/>
          <w:lang w:val="x-none"/>
        </w:rPr>
        <w:footnoteReference w:id="223"/>
      </w:r>
      <w:r w:rsidR="00697A51" w:rsidRPr="00F4635D">
        <w:t>.</w:t>
      </w:r>
      <w:r w:rsidR="003B5ABF" w:rsidRPr="00F4635D">
        <w:t xml:space="preserve"> Odredbom članka 323. s</w:t>
      </w:r>
      <w:r w:rsidRPr="00F4635D">
        <w:t>tavak 1. SZ-a je određeno da se na pravo glasa stečajnih vjerovnika pri glasovanju o stečajnom planu na odgovarajući način primjenjuju pravila Stečajnog</w:t>
      </w:r>
      <w:r w:rsidR="00CF7C33" w:rsidRPr="00F4635D">
        <w:t>a</w:t>
      </w:r>
      <w:r w:rsidRPr="00F4635D">
        <w:t xml:space="preserve"> zakona o utvrđivanju prava glasa stečajnih vjerovnik</w:t>
      </w:r>
      <w:r w:rsidR="009D01A9" w:rsidRPr="00F4635D">
        <w:t>a</w:t>
      </w:r>
      <w:r w:rsidRPr="00F4635D">
        <w:t xml:space="preserve">. Slijedom navedenog, pravo glasa na ročištu za glasovanje o planu restrukturiranja imaju vjerovnici čije su tražbine utvrđene rješenjem o utvrđenim i osporenim tražbinama. Vjerovnik čija je tražbina osporena ima pravo glasa, ako postojanje svoje tražbine dokazuje ovršnom ispravom, osim ako se javnom ili </w:t>
      </w:r>
      <w:proofErr w:type="spellStart"/>
      <w:r w:rsidRPr="00F4635D">
        <w:t>javnoovjerovljenom</w:t>
      </w:r>
      <w:proofErr w:type="spellEnd"/>
      <w:r w:rsidRPr="00F4635D">
        <w:t xml:space="preserve"> ispravom ne dokaže prestanak njegove tražbine. </w:t>
      </w:r>
      <w:r w:rsidR="001D12A1" w:rsidRPr="00F4635D">
        <w:t xml:space="preserve">Vjerovnicima osporenih tražbina koji nemaju ovršnu ispravu za osporenu tražbinu priznat će se pravo glasa ako na ročištu za glasovanje o planu restrukturiranja </w:t>
      </w:r>
      <w:r w:rsidR="00CB1B90" w:rsidRPr="00F4635D">
        <w:t xml:space="preserve">tako sporazumiju </w:t>
      </w:r>
      <w:r w:rsidR="001D12A1" w:rsidRPr="00F4635D">
        <w:t>vjerovnici koji imaju pravo glasa, dužnik i povjerenik</w:t>
      </w:r>
      <w:r w:rsidR="00CB1B90" w:rsidRPr="00F4635D">
        <w:t>.</w:t>
      </w:r>
      <w:r w:rsidR="001D12A1" w:rsidRPr="00F4635D">
        <w:t xml:space="preserve"> Ako se sporazum ne može postići, o tome odlučuje sud rješenjem protiv kojeg nije dopuštena žalba.</w:t>
      </w:r>
    </w:p>
    <w:p w:rsidR="009C6536" w:rsidRPr="002D2B26" w:rsidRDefault="00104026" w:rsidP="00104026">
      <w:pPr>
        <w:autoSpaceDE w:val="0"/>
        <w:autoSpaceDN w:val="0"/>
        <w:adjustRightInd w:val="0"/>
        <w:spacing w:before="120" w:after="120" w:line="240" w:lineRule="auto"/>
        <w:jc w:val="both"/>
        <w:rPr>
          <w:rFonts w:ascii="Arial" w:hAnsi="Arial" w:cs="Arial"/>
          <w:sz w:val="24"/>
          <w:szCs w:val="24"/>
        </w:rPr>
      </w:pPr>
      <w:r>
        <w:rPr>
          <w:rFonts w:ascii="Times New Roman" w:hAnsi="Times New Roman" w:cs="Times New Roman"/>
          <w:sz w:val="24"/>
          <w:szCs w:val="24"/>
        </w:rPr>
        <w:lastRenderedPageBreak/>
        <w:tab/>
      </w:r>
      <w:r w:rsidRPr="002D2B26">
        <w:rPr>
          <w:rFonts w:ascii="Arial" w:hAnsi="Arial" w:cs="Arial"/>
          <w:sz w:val="24"/>
          <w:szCs w:val="24"/>
        </w:rPr>
        <w:t>Kao što je navedeno p</w:t>
      </w:r>
      <w:proofErr w:type="spellStart"/>
      <w:r w:rsidRPr="002D2B26">
        <w:rPr>
          <w:rFonts w:ascii="Arial" w:hAnsi="Arial" w:cs="Arial"/>
          <w:sz w:val="24"/>
          <w:szCs w:val="24"/>
          <w:lang w:val="x-none"/>
        </w:rPr>
        <w:t>redstečajni</w:t>
      </w:r>
      <w:proofErr w:type="spellEnd"/>
      <w:r w:rsidRPr="002D2B26">
        <w:rPr>
          <w:rFonts w:ascii="Arial" w:hAnsi="Arial" w:cs="Arial"/>
          <w:sz w:val="24"/>
          <w:szCs w:val="24"/>
          <w:lang w:val="x-none"/>
        </w:rPr>
        <w:t xml:space="preserve"> sporazum ne smije zadirati u prav</w:t>
      </w:r>
      <w:r w:rsidR="009C6536" w:rsidRPr="002D2B26">
        <w:rPr>
          <w:rFonts w:ascii="Arial" w:hAnsi="Arial" w:cs="Arial"/>
          <w:sz w:val="24"/>
          <w:szCs w:val="24"/>
        </w:rPr>
        <w:t>a</w:t>
      </w:r>
      <w:r w:rsidRPr="002D2B26">
        <w:rPr>
          <w:rFonts w:ascii="Arial" w:hAnsi="Arial" w:cs="Arial"/>
          <w:sz w:val="24"/>
          <w:szCs w:val="24"/>
          <w:lang w:val="x-none"/>
        </w:rPr>
        <w:t xml:space="preserve"> </w:t>
      </w:r>
      <w:proofErr w:type="spellStart"/>
      <w:r w:rsidRPr="002D2B26">
        <w:rPr>
          <w:rFonts w:ascii="Arial" w:hAnsi="Arial" w:cs="Arial"/>
          <w:sz w:val="24"/>
          <w:szCs w:val="24"/>
          <w:lang w:val="x-none"/>
        </w:rPr>
        <w:t>razlučnih</w:t>
      </w:r>
      <w:proofErr w:type="spellEnd"/>
      <w:r w:rsidRPr="002D2B26">
        <w:rPr>
          <w:rFonts w:ascii="Arial" w:hAnsi="Arial" w:cs="Arial"/>
          <w:sz w:val="24"/>
          <w:szCs w:val="24"/>
          <w:lang w:val="x-none"/>
        </w:rPr>
        <w:t xml:space="preserve"> vjerovnika na namirenje iz predmeta na kojima postoje prava odvojenoga namirenja</w:t>
      </w:r>
      <w:r w:rsidRPr="002D2B26">
        <w:rPr>
          <w:rFonts w:ascii="Arial" w:hAnsi="Arial" w:cs="Arial"/>
          <w:sz w:val="24"/>
          <w:szCs w:val="24"/>
        </w:rPr>
        <w:t>. R</w:t>
      </w:r>
      <w:proofErr w:type="spellStart"/>
      <w:r w:rsidRPr="002D2B26">
        <w:rPr>
          <w:rFonts w:ascii="Arial" w:hAnsi="Arial" w:cs="Arial"/>
          <w:sz w:val="24"/>
          <w:szCs w:val="24"/>
          <w:lang w:val="x-none"/>
        </w:rPr>
        <w:t>azlučni</w:t>
      </w:r>
      <w:proofErr w:type="spellEnd"/>
      <w:r w:rsidRPr="002D2B26">
        <w:rPr>
          <w:rFonts w:ascii="Arial" w:hAnsi="Arial" w:cs="Arial"/>
          <w:sz w:val="24"/>
          <w:szCs w:val="24"/>
          <w:lang w:val="x-none"/>
        </w:rPr>
        <w:t xml:space="preserve"> vjerovnici </w:t>
      </w:r>
      <w:r w:rsidRPr="002D2B26">
        <w:rPr>
          <w:rFonts w:ascii="Arial" w:hAnsi="Arial" w:cs="Arial"/>
          <w:sz w:val="24"/>
          <w:szCs w:val="24"/>
        </w:rPr>
        <w:t xml:space="preserve">mogu u </w:t>
      </w:r>
      <w:r w:rsidR="00F4635D" w:rsidRPr="002D2B26">
        <w:rPr>
          <w:rFonts w:ascii="Arial" w:hAnsi="Arial" w:cs="Arial"/>
          <w:sz w:val="24"/>
          <w:szCs w:val="24"/>
        </w:rPr>
        <w:t xml:space="preserve">obavijesti o </w:t>
      </w:r>
      <w:r w:rsidRPr="002D2B26">
        <w:rPr>
          <w:rFonts w:ascii="Arial" w:hAnsi="Arial" w:cs="Arial"/>
          <w:sz w:val="24"/>
          <w:szCs w:val="24"/>
        </w:rPr>
        <w:t>svoj</w:t>
      </w:r>
      <w:r w:rsidR="00F4635D" w:rsidRPr="002D2B26">
        <w:rPr>
          <w:rFonts w:ascii="Arial" w:hAnsi="Arial" w:cs="Arial"/>
          <w:sz w:val="24"/>
          <w:szCs w:val="24"/>
        </w:rPr>
        <w:t>oj</w:t>
      </w:r>
      <w:r w:rsidRPr="002D2B26">
        <w:rPr>
          <w:rFonts w:ascii="Arial" w:hAnsi="Arial" w:cs="Arial"/>
          <w:sz w:val="24"/>
          <w:szCs w:val="24"/>
        </w:rPr>
        <w:t xml:space="preserve"> tražbin</w:t>
      </w:r>
      <w:r w:rsidR="00F4635D" w:rsidRPr="002D2B26">
        <w:rPr>
          <w:rFonts w:ascii="Arial" w:hAnsi="Arial" w:cs="Arial"/>
          <w:sz w:val="24"/>
          <w:szCs w:val="24"/>
        </w:rPr>
        <w:t>i</w:t>
      </w:r>
      <w:r w:rsidRPr="002D2B26">
        <w:rPr>
          <w:rFonts w:ascii="Arial" w:hAnsi="Arial" w:cs="Arial"/>
          <w:sz w:val="24"/>
          <w:szCs w:val="24"/>
        </w:rPr>
        <w:t xml:space="preserve"> osiguran</w:t>
      </w:r>
      <w:r w:rsidR="00F4635D" w:rsidRPr="002D2B26">
        <w:rPr>
          <w:rFonts w:ascii="Arial" w:hAnsi="Arial" w:cs="Arial"/>
          <w:sz w:val="24"/>
          <w:szCs w:val="24"/>
        </w:rPr>
        <w:t>oj</w:t>
      </w:r>
      <w:r w:rsidRPr="002D2B26">
        <w:rPr>
          <w:rFonts w:ascii="Arial" w:hAnsi="Arial" w:cs="Arial"/>
          <w:sz w:val="24"/>
          <w:szCs w:val="24"/>
        </w:rPr>
        <w:t xml:space="preserve"> </w:t>
      </w:r>
      <w:proofErr w:type="spellStart"/>
      <w:r w:rsidRPr="002D2B26">
        <w:rPr>
          <w:rFonts w:ascii="Arial" w:hAnsi="Arial" w:cs="Arial"/>
          <w:sz w:val="24"/>
          <w:szCs w:val="24"/>
        </w:rPr>
        <w:t>razlučnim</w:t>
      </w:r>
      <w:proofErr w:type="spellEnd"/>
      <w:r w:rsidRPr="002D2B26">
        <w:rPr>
          <w:rFonts w:ascii="Arial" w:hAnsi="Arial" w:cs="Arial"/>
          <w:sz w:val="24"/>
          <w:szCs w:val="24"/>
        </w:rPr>
        <w:t xml:space="preserve"> pravom </w:t>
      </w:r>
      <w:r w:rsidRPr="002D2B26">
        <w:rPr>
          <w:rFonts w:ascii="Arial" w:hAnsi="Arial" w:cs="Arial"/>
          <w:sz w:val="24"/>
          <w:szCs w:val="24"/>
          <w:lang w:val="x-none"/>
        </w:rPr>
        <w:t xml:space="preserve">dati izjavu </w:t>
      </w:r>
      <w:r w:rsidRPr="002D2B26">
        <w:rPr>
          <w:rFonts w:ascii="Arial" w:hAnsi="Arial" w:cs="Arial"/>
          <w:sz w:val="24"/>
          <w:szCs w:val="24"/>
        </w:rPr>
        <w:t xml:space="preserve">o odricanju od </w:t>
      </w:r>
      <w:r w:rsidRPr="002D2B26">
        <w:rPr>
          <w:rFonts w:ascii="Arial" w:hAnsi="Arial" w:cs="Arial"/>
          <w:sz w:val="24"/>
          <w:szCs w:val="24"/>
          <w:lang w:val="x-none"/>
        </w:rPr>
        <w:t>prava na odvojeno namirenje</w:t>
      </w:r>
      <w:r w:rsidR="009B6F97" w:rsidRPr="002D2B26">
        <w:rPr>
          <w:rFonts w:ascii="Arial" w:hAnsi="Arial" w:cs="Arial"/>
          <w:sz w:val="24"/>
          <w:szCs w:val="24"/>
        </w:rPr>
        <w:t xml:space="preserve"> ili izjavu o pristanku na odgodu prava na namirenje</w:t>
      </w:r>
      <w:r w:rsidRPr="002D2B26">
        <w:rPr>
          <w:rFonts w:ascii="Arial" w:hAnsi="Arial" w:cs="Arial"/>
          <w:sz w:val="24"/>
          <w:szCs w:val="24"/>
          <w:lang w:val="x-none"/>
        </w:rPr>
        <w:t>.</w:t>
      </w:r>
      <w:r w:rsidRPr="002D2B26">
        <w:rPr>
          <w:rFonts w:ascii="Arial" w:hAnsi="Arial" w:cs="Arial"/>
          <w:sz w:val="24"/>
          <w:szCs w:val="24"/>
        </w:rPr>
        <w:t xml:space="preserve"> </w:t>
      </w:r>
      <w:r w:rsidR="00F4635D" w:rsidRPr="002D2B26">
        <w:rPr>
          <w:rFonts w:ascii="Arial" w:hAnsi="Arial" w:cs="Arial"/>
          <w:sz w:val="24"/>
          <w:szCs w:val="24"/>
        </w:rPr>
        <w:t xml:space="preserve">Ako su </w:t>
      </w:r>
      <w:proofErr w:type="spellStart"/>
      <w:r w:rsidR="00F4635D" w:rsidRPr="002D2B26">
        <w:rPr>
          <w:rFonts w:ascii="Arial" w:hAnsi="Arial" w:cs="Arial"/>
          <w:sz w:val="24"/>
          <w:szCs w:val="24"/>
        </w:rPr>
        <w:t>razlučni</w:t>
      </w:r>
      <w:proofErr w:type="spellEnd"/>
      <w:r w:rsidR="00F4635D" w:rsidRPr="002D2B26">
        <w:rPr>
          <w:rFonts w:ascii="Arial" w:hAnsi="Arial" w:cs="Arial"/>
          <w:sz w:val="24"/>
          <w:szCs w:val="24"/>
        </w:rPr>
        <w:t xml:space="preserve"> vjerovnici dali takvu izjavu </w:t>
      </w:r>
      <w:r w:rsidR="002D2B26">
        <w:rPr>
          <w:rFonts w:ascii="Arial" w:hAnsi="Arial" w:cs="Arial"/>
          <w:sz w:val="24"/>
          <w:szCs w:val="24"/>
        </w:rPr>
        <w:t xml:space="preserve">te ako </w:t>
      </w:r>
      <w:proofErr w:type="spellStart"/>
      <w:r w:rsidR="002D2B26">
        <w:rPr>
          <w:rFonts w:ascii="Arial" w:hAnsi="Arial" w:cs="Arial"/>
          <w:sz w:val="24"/>
          <w:szCs w:val="24"/>
        </w:rPr>
        <w:t>predstečajni</w:t>
      </w:r>
      <w:proofErr w:type="spellEnd"/>
      <w:r w:rsidR="002D2B26">
        <w:rPr>
          <w:rFonts w:ascii="Arial" w:hAnsi="Arial" w:cs="Arial"/>
          <w:sz w:val="24"/>
          <w:szCs w:val="24"/>
        </w:rPr>
        <w:t xml:space="preserve"> sporazum uređuje i pravni položaj </w:t>
      </w:r>
      <w:proofErr w:type="spellStart"/>
      <w:r w:rsidR="002D2B26">
        <w:rPr>
          <w:rFonts w:ascii="Arial" w:hAnsi="Arial" w:cs="Arial"/>
          <w:sz w:val="24"/>
          <w:szCs w:val="24"/>
        </w:rPr>
        <w:t>razlučnih</w:t>
      </w:r>
      <w:proofErr w:type="spellEnd"/>
      <w:r w:rsidR="002D2B26">
        <w:rPr>
          <w:rFonts w:ascii="Arial" w:hAnsi="Arial" w:cs="Arial"/>
          <w:sz w:val="24"/>
          <w:szCs w:val="24"/>
        </w:rPr>
        <w:t xml:space="preserve"> vjerovnika, na ročištu će se pojedinačno raspraviti prava tih vjerovnika. Pravo glasa imaju oni </w:t>
      </w:r>
      <w:proofErr w:type="spellStart"/>
      <w:r w:rsidR="002D2B26">
        <w:rPr>
          <w:rFonts w:ascii="Arial" w:hAnsi="Arial" w:cs="Arial"/>
          <w:sz w:val="24"/>
          <w:szCs w:val="24"/>
        </w:rPr>
        <w:t>razlučni</w:t>
      </w:r>
      <w:proofErr w:type="spellEnd"/>
      <w:r w:rsidR="002D2B26">
        <w:rPr>
          <w:rFonts w:ascii="Arial" w:hAnsi="Arial" w:cs="Arial"/>
          <w:sz w:val="24"/>
          <w:szCs w:val="24"/>
        </w:rPr>
        <w:t xml:space="preserve"> vjerovnici </w:t>
      </w:r>
      <w:r w:rsidR="00D57AEA" w:rsidRPr="002D2B26">
        <w:rPr>
          <w:rFonts w:ascii="Arial" w:hAnsi="Arial" w:cs="Arial"/>
          <w:sz w:val="24"/>
          <w:szCs w:val="24"/>
        </w:rPr>
        <w:t xml:space="preserve">ako </w:t>
      </w:r>
      <w:r w:rsidR="002D2B26">
        <w:rPr>
          <w:rFonts w:ascii="Arial" w:hAnsi="Arial" w:cs="Arial"/>
          <w:sz w:val="24"/>
          <w:szCs w:val="24"/>
        </w:rPr>
        <w:t xml:space="preserve">njihova </w:t>
      </w:r>
      <w:proofErr w:type="spellStart"/>
      <w:r w:rsidR="002D2B26">
        <w:rPr>
          <w:rFonts w:ascii="Arial" w:hAnsi="Arial" w:cs="Arial"/>
          <w:sz w:val="24"/>
          <w:szCs w:val="24"/>
        </w:rPr>
        <w:t>razlučna</w:t>
      </w:r>
      <w:proofErr w:type="spellEnd"/>
      <w:r w:rsidR="002D2B26">
        <w:rPr>
          <w:rFonts w:ascii="Arial" w:hAnsi="Arial" w:cs="Arial"/>
          <w:sz w:val="24"/>
          <w:szCs w:val="24"/>
        </w:rPr>
        <w:t xml:space="preserve"> prava nisu osporena i ako im </w:t>
      </w:r>
      <w:r w:rsidR="00D57AEA" w:rsidRPr="002D2B26">
        <w:rPr>
          <w:rFonts w:ascii="Arial" w:hAnsi="Arial" w:cs="Arial"/>
          <w:sz w:val="24"/>
          <w:szCs w:val="24"/>
        </w:rPr>
        <w:t>je dužnik i osobno odgovoran</w:t>
      </w:r>
      <w:r w:rsidR="009B6F97" w:rsidRPr="002D2B26">
        <w:rPr>
          <w:rFonts w:ascii="Arial" w:hAnsi="Arial" w:cs="Arial"/>
          <w:sz w:val="24"/>
          <w:szCs w:val="24"/>
        </w:rPr>
        <w:t>.</w:t>
      </w:r>
      <w:r w:rsidR="002D2B26">
        <w:rPr>
          <w:rStyle w:val="Referencafusnote"/>
          <w:rFonts w:ascii="Arial" w:hAnsi="Arial" w:cs="Arial"/>
          <w:sz w:val="24"/>
          <w:szCs w:val="24"/>
        </w:rPr>
        <w:footnoteReference w:id="224"/>
      </w:r>
      <w:r w:rsidR="009B6F97" w:rsidRPr="002D2B26">
        <w:rPr>
          <w:rFonts w:ascii="Arial" w:hAnsi="Arial" w:cs="Arial"/>
          <w:sz w:val="24"/>
          <w:szCs w:val="24"/>
        </w:rPr>
        <w:t xml:space="preserve"> A</w:t>
      </w:r>
      <w:r w:rsidRPr="002D2B26">
        <w:rPr>
          <w:rFonts w:ascii="Arial" w:hAnsi="Arial" w:cs="Arial"/>
          <w:sz w:val="24"/>
          <w:szCs w:val="24"/>
        </w:rPr>
        <w:t xml:space="preserve">ko </w:t>
      </w:r>
      <w:r w:rsidR="002D2B26">
        <w:rPr>
          <w:rFonts w:ascii="Arial" w:hAnsi="Arial" w:cs="Arial"/>
          <w:sz w:val="24"/>
          <w:szCs w:val="24"/>
        </w:rPr>
        <w:t xml:space="preserve">je </w:t>
      </w:r>
      <w:proofErr w:type="spellStart"/>
      <w:r w:rsidR="002D2B26">
        <w:rPr>
          <w:rFonts w:ascii="Arial" w:hAnsi="Arial" w:cs="Arial"/>
          <w:sz w:val="24"/>
          <w:szCs w:val="24"/>
        </w:rPr>
        <w:t>razlučnom</w:t>
      </w:r>
      <w:proofErr w:type="spellEnd"/>
      <w:r w:rsidR="002D2B26">
        <w:rPr>
          <w:rFonts w:ascii="Arial" w:hAnsi="Arial" w:cs="Arial"/>
          <w:sz w:val="24"/>
          <w:szCs w:val="24"/>
        </w:rPr>
        <w:t xml:space="preserve"> vjerovniku osporeno </w:t>
      </w:r>
      <w:proofErr w:type="spellStart"/>
      <w:r w:rsidR="002D2B26">
        <w:rPr>
          <w:rFonts w:ascii="Arial" w:hAnsi="Arial" w:cs="Arial"/>
          <w:sz w:val="24"/>
          <w:szCs w:val="24"/>
        </w:rPr>
        <w:t>pravo</w:t>
      </w:r>
      <w:r w:rsidRPr="002D2B26">
        <w:rPr>
          <w:rFonts w:ascii="Arial" w:hAnsi="Arial" w:cs="Arial"/>
          <w:sz w:val="24"/>
          <w:szCs w:val="24"/>
        </w:rPr>
        <w:t>je</w:t>
      </w:r>
      <w:proofErr w:type="spellEnd"/>
      <w:r w:rsidRPr="002D2B26">
        <w:rPr>
          <w:rFonts w:ascii="Arial" w:hAnsi="Arial" w:cs="Arial"/>
          <w:sz w:val="24"/>
          <w:szCs w:val="24"/>
        </w:rPr>
        <w:t xml:space="preserve"> tražbina osporena takvom </w:t>
      </w:r>
      <w:proofErr w:type="spellStart"/>
      <w:r w:rsidR="00023037" w:rsidRPr="002D2B26">
        <w:rPr>
          <w:rFonts w:ascii="Arial" w:hAnsi="Arial" w:cs="Arial"/>
          <w:sz w:val="24"/>
          <w:szCs w:val="24"/>
        </w:rPr>
        <w:t>razlučnom</w:t>
      </w:r>
      <w:proofErr w:type="spellEnd"/>
      <w:r w:rsidR="00023037" w:rsidRPr="002D2B26">
        <w:rPr>
          <w:rFonts w:ascii="Arial" w:hAnsi="Arial" w:cs="Arial"/>
          <w:sz w:val="24"/>
          <w:szCs w:val="24"/>
        </w:rPr>
        <w:t xml:space="preserve"> </w:t>
      </w:r>
      <w:r w:rsidRPr="002D2B26">
        <w:rPr>
          <w:rFonts w:ascii="Arial" w:hAnsi="Arial" w:cs="Arial"/>
          <w:sz w:val="24"/>
          <w:szCs w:val="24"/>
        </w:rPr>
        <w:t xml:space="preserve">vjerovniku on ima pravo glasa za dio tražbine osigurane </w:t>
      </w:r>
      <w:proofErr w:type="spellStart"/>
      <w:r w:rsidRPr="002D2B26">
        <w:rPr>
          <w:rFonts w:ascii="Arial" w:hAnsi="Arial" w:cs="Arial"/>
          <w:sz w:val="24"/>
          <w:szCs w:val="24"/>
        </w:rPr>
        <w:t>razlučnim</w:t>
      </w:r>
      <w:proofErr w:type="spellEnd"/>
      <w:r w:rsidRPr="002D2B26">
        <w:rPr>
          <w:rFonts w:ascii="Arial" w:hAnsi="Arial" w:cs="Arial"/>
          <w:sz w:val="24"/>
          <w:szCs w:val="24"/>
        </w:rPr>
        <w:t xml:space="preserve"> pravom koju je prijavio kao vjerovnik u </w:t>
      </w:r>
      <w:proofErr w:type="spellStart"/>
      <w:r w:rsidRPr="002D2B26">
        <w:rPr>
          <w:rFonts w:ascii="Arial" w:hAnsi="Arial" w:cs="Arial"/>
          <w:sz w:val="24"/>
          <w:szCs w:val="24"/>
        </w:rPr>
        <w:t>predstečajnom</w:t>
      </w:r>
      <w:proofErr w:type="spellEnd"/>
      <w:r w:rsidRPr="002D2B26">
        <w:rPr>
          <w:rFonts w:ascii="Arial" w:hAnsi="Arial" w:cs="Arial"/>
          <w:sz w:val="24"/>
          <w:szCs w:val="24"/>
        </w:rPr>
        <w:t xml:space="preserve"> postupku. Slijedom toga, </w:t>
      </w:r>
      <w:r w:rsidR="00BA5873" w:rsidRPr="002D2B26">
        <w:rPr>
          <w:rFonts w:ascii="Arial" w:hAnsi="Arial" w:cs="Arial"/>
          <w:sz w:val="24"/>
          <w:szCs w:val="24"/>
        </w:rPr>
        <w:t xml:space="preserve">može se zaključiti da </w:t>
      </w:r>
      <w:proofErr w:type="spellStart"/>
      <w:r w:rsidRPr="002D2B26">
        <w:rPr>
          <w:rFonts w:ascii="Arial" w:hAnsi="Arial" w:cs="Arial"/>
          <w:sz w:val="24"/>
          <w:szCs w:val="24"/>
        </w:rPr>
        <w:t>razlučni</w:t>
      </w:r>
      <w:proofErr w:type="spellEnd"/>
      <w:r w:rsidRPr="002D2B26">
        <w:rPr>
          <w:rFonts w:ascii="Arial" w:hAnsi="Arial" w:cs="Arial"/>
          <w:sz w:val="24"/>
          <w:szCs w:val="24"/>
        </w:rPr>
        <w:t xml:space="preserve"> vjerovnici nemaju pravo glasa na ročištu za glasovanje o planu restrukturiranja ako nisu dali izjavu o odricanju od </w:t>
      </w:r>
      <w:r w:rsidRPr="002D2B26">
        <w:rPr>
          <w:rFonts w:ascii="Arial" w:hAnsi="Arial" w:cs="Arial"/>
          <w:sz w:val="24"/>
          <w:szCs w:val="24"/>
          <w:lang w:val="x-none"/>
        </w:rPr>
        <w:t>prava na odvojeno namirenje</w:t>
      </w:r>
      <w:r w:rsidR="00BA5873" w:rsidRPr="002D2B26">
        <w:rPr>
          <w:rFonts w:ascii="Arial" w:hAnsi="Arial" w:cs="Arial"/>
          <w:sz w:val="24"/>
          <w:szCs w:val="24"/>
        </w:rPr>
        <w:t xml:space="preserve"> </w:t>
      </w:r>
      <w:r w:rsidR="00CF7C33" w:rsidRPr="002D2B26">
        <w:rPr>
          <w:rFonts w:ascii="Arial" w:hAnsi="Arial" w:cs="Arial"/>
          <w:sz w:val="24"/>
          <w:szCs w:val="24"/>
        </w:rPr>
        <w:t xml:space="preserve">ili izjavu o </w:t>
      </w:r>
      <w:r w:rsidR="007F0334" w:rsidRPr="002D2B26">
        <w:rPr>
          <w:rFonts w:ascii="Arial" w:hAnsi="Arial" w:cs="Arial"/>
          <w:sz w:val="24"/>
          <w:szCs w:val="24"/>
        </w:rPr>
        <w:t xml:space="preserve">pristanku </w:t>
      </w:r>
      <w:r w:rsidR="00CF7C33" w:rsidRPr="002D2B26">
        <w:rPr>
          <w:rFonts w:ascii="Arial" w:hAnsi="Arial" w:cs="Arial"/>
          <w:sz w:val="24"/>
          <w:szCs w:val="24"/>
        </w:rPr>
        <w:t>odgod</w:t>
      </w:r>
      <w:r w:rsidR="007F0334" w:rsidRPr="002D2B26">
        <w:rPr>
          <w:rFonts w:ascii="Arial" w:hAnsi="Arial" w:cs="Arial"/>
          <w:sz w:val="24"/>
          <w:szCs w:val="24"/>
        </w:rPr>
        <w:t>e</w:t>
      </w:r>
      <w:r w:rsidR="00CF7C33" w:rsidRPr="002D2B26">
        <w:rPr>
          <w:rFonts w:ascii="Arial" w:hAnsi="Arial" w:cs="Arial"/>
          <w:sz w:val="24"/>
          <w:szCs w:val="24"/>
        </w:rPr>
        <w:t xml:space="preserve"> namirenja </w:t>
      </w:r>
      <w:r w:rsidR="00BA5873" w:rsidRPr="002D2B26">
        <w:rPr>
          <w:rFonts w:ascii="Arial" w:hAnsi="Arial" w:cs="Arial"/>
          <w:sz w:val="24"/>
          <w:szCs w:val="24"/>
        </w:rPr>
        <w:t>jer plan restrukturiranja ne djeluje na njihove tražbine.</w:t>
      </w:r>
    </w:p>
    <w:p w:rsidR="009D01A9" w:rsidRDefault="00023611" w:rsidP="00104026">
      <w:pPr>
        <w:autoSpaceDE w:val="0"/>
        <w:autoSpaceDN w:val="0"/>
        <w:adjustRightInd w:val="0"/>
        <w:spacing w:before="120" w:after="120" w:line="240" w:lineRule="auto"/>
        <w:jc w:val="both"/>
        <w:rPr>
          <w:rFonts w:ascii="Arial" w:hAnsi="Arial" w:cs="Arial"/>
          <w:sz w:val="24"/>
          <w:szCs w:val="24"/>
        </w:rPr>
      </w:pPr>
      <w:r>
        <w:rPr>
          <w:rFonts w:ascii="Times New Roman" w:hAnsi="Times New Roman" w:cs="Times New Roman"/>
          <w:sz w:val="24"/>
          <w:szCs w:val="24"/>
        </w:rPr>
        <w:tab/>
      </w:r>
      <w:proofErr w:type="spellStart"/>
      <w:r w:rsidR="006B0FAA">
        <w:rPr>
          <w:rFonts w:ascii="Arial" w:hAnsi="Arial" w:cs="Arial"/>
          <w:sz w:val="24"/>
          <w:szCs w:val="24"/>
        </w:rPr>
        <w:t>Razlučni</w:t>
      </w:r>
      <w:proofErr w:type="spellEnd"/>
      <w:r w:rsidR="006B0FAA">
        <w:rPr>
          <w:rFonts w:ascii="Arial" w:hAnsi="Arial" w:cs="Arial"/>
          <w:sz w:val="24"/>
          <w:szCs w:val="24"/>
        </w:rPr>
        <w:t xml:space="preserve"> vjerovnici na čije tražbine stečajni plan ne djeluje nemaju pravo glasa.</w:t>
      </w:r>
      <w:r w:rsidR="006B0FAA">
        <w:rPr>
          <w:rStyle w:val="Referencafusnote"/>
          <w:rFonts w:ascii="Arial" w:hAnsi="Arial" w:cs="Arial"/>
          <w:sz w:val="24"/>
          <w:szCs w:val="24"/>
        </w:rPr>
        <w:footnoteReference w:id="225"/>
      </w:r>
      <w:r w:rsidR="006B0FAA">
        <w:rPr>
          <w:rFonts w:ascii="Arial" w:hAnsi="Arial" w:cs="Arial"/>
          <w:sz w:val="24"/>
          <w:szCs w:val="24"/>
        </w:rPr>
        <w:t xml:space="preserve"> </w:t>
      </w:r>
      <w:proofErr w:type="spellStart"/>
      <w:r w:rsidR="009D01A9" w:rsidRPr="002D2B26">
        <w:rPr>
          <w:rFonts w:ascii="Arial" w:hAnsi="Arial" w:cs="Arial"/>
          <w:sz w:val="24"/>
          <w:szCs w:val="24"/>
        </w:rPr>
        <w:t>R</w:t>
      </w:r>
      <w:r w:rsidR="008F14B8" w:rsidRPr="002D2B26">
        <w:rPr>
          <w:rFonts w:ascii="Arial" w:hAnsi="Arial" w:cs="Arial"/>
          <w:sz w:val="24"/>
          <w:szCs w:val="24"/>
        </w:rPr>
        <w:t>azlučni</w:t>
      </w:r>
      <w:proofErr w:type="spellEnd"/>
      <w:r w:rsidR="008F14B8" w:rsidRPr="002D2B26">
        <w:rPr>
          <w:rFonts w:ascii="Arial" w:hAnsi="Arial" w:cs="Arial"/>
          <w:sz w:val="24"/>
          <w:szCs w:val="24"/>
        </w:rPr>
        <w:t xml:space="preserve"> vjerovnici </w:t>
      </w:r>
      <w:r w:rsidR="009D01A9" w:rsidRPr="002D2B26">
        <w:rPr>
          <w:rFonts w:ascii="Arial" w:hAnsi="Arial" w:cs="Arial"/>
          <w:sz w:val="24"/>
          <w:szCs w:val="24"/>
        </w:rPr>
        <w:t>kojima dužnik nije osobno odgovoran nemaju nikakvu tražbinu prema dužniku</w:t>
      </w:r>
      <w:r w:rsidR="00023037" w:rsidRPr="002D2B26">
        <w:rPr>
          <w:rFonts w:ascii="Arial" w:hAnsi="Arial" w:cs="Arial"/>
          <w:sz w:val="24"/>
          <w:szCs w:val="24"/>
        </w:rPr>
        <w:t xml:space="preserve"> </w:t>
      </w:r>
      <w:r w:rsidR="002D2B26">
        <w:rPr>
          <w:rFonts w:ascii="Arial" w:hAnsi="Arial" w:cs="Arial"/>
          <w:sz w:val="24"/>
          <w:szCs w:val="24"/>
        </w:rPr>
        <w:t>pa se post</w:t>
      </w:r>
      <w:r w:rsidR="006B0FAA">
        <w:rPr>
          <w:rFonts w:ascii="Arial" w:hAnsi="Arial" w:cs="Arial"/>
          <w:sz w:val="24"/>
          <w:szCs w:val="24"/>
        </w:rPr>
        <w:t>a</w:t>
      </w:r>
      <w:r w:rsidR="002D2B26">
        <w:rPr>
          <w:rFonts w:ascii="Arial" w:hAnsi="Arial" w:cs="Arial"/>
          <w:sz w:val="24"/>
          <w:szCs w:val="24"/>
        </w:rPr>
        <w:t xml:space="preserve">vlja pitanje </w:t>
      </w:r>
      <w:r w:rsidR="006B0FAA">
        <w:rPr>
          <w:rFonts w:ascii="Arial" w:hAnsi="Arial" w:cs="Arial"/>
          <w:sz w:val="24"/>
          <w:szCs w:val="24"/>
        </w:rPr>
        <w:t xml:space="preserve">imaju li oni </w:t>
      </w:r>
      <w:r w:rsidR="002D2B26">
        <w:rPr>
          <w:rFonts w:ascii="Arial" w:hAnsi="Arial" w:cs="Arial"/>
          <w:sz w:val="24"/>
          <w:szCs w:val="24"/>
        </w:rPr>
        <w:t>pravo glasa o prijedlogu plana</w:t>
      </w:r>
      <w:r w:rsidR="009D01A9" w:rsidRPr="002D2B26">
        <w:rPr>
          <w:rFonts w:ascii="Arial" w:hAnsi="Arial" w:cs="Arial"/>
          <w:sz w:val="24"/>
          <w:szCs w:val="24"/>
        </w:rPr>
        <w:t xml:space="preserve"> restrukturiranja </w:t>
      </w:r>
      <w:r w:rsidR="006B0FAA">
        <w:rPr>
          <w:rFonts w:ascii="Arial" w:hAnsi="Arial" w:cs="Arial"/>
          <w:sz w:val="24"/>
          <w:szCs w:val="24"/>
        </w:rPr>
        <w:t xml:space="preserve">ako bi se </w:t>
      </w:r>
      <w:proofErr w:type="spellStart"/>
      <w:r w:rsidR="006B0FAA">
        <w:rPr>
          <w:rFonts w:ascii="Arial" w:hAnsi="Arial" w:cs="Arial"/>
          <w:sz w:val="24"/>
          <w:szCs w:val="24"/>
        </w:rPr>
        <w:t>predstečajnim</w:t>
      </w:r>
      <w:proofErr w:type="spellEnd"/>
      <w:r w:rsidR="006B0FAA">
        <w:rPr>
          <w:rFonts w:ascii="Arial" w:hAnsi="Arial" w:cs="Arial"/>
          <w:sz w:val="24"/>
          <w:szCs w:val="24"/>
        </w:rPr>
        <w:t xml:space="preserve"> sporazumom zadiralo i u prava tih </w:t>
      </w:r>
      <w:proofErr w:type="spellStart"/>
      <w:r w:rsidR="006B0FAA">
        <w:rPr>
          <w:rFonts w:ascii="Arial" w:hAnsi="Arial" w:cs="Arial"/>
          <w:sz w:val="24"/>
          <w:szCs w:val="24"/>
        </w:rPr>
        <w:t>razlučnih</w:t>
      </w:r>
      <w:proofErr w:type="spellEnd"/>
      <w:r w:rsidR="006B0FAA">
        <w:rPr>
          <w:rFonts w:ascii="Arial" w:hAnsi="Arial" w:cs="Arial"/>
          <w:sz w:val="24"/>
          <w:szCs w:val="24"/>
        </w:rPr>
        <w:t xml:space="preserve"> vjerovnika budući da su dali Izjavu o </w:t>
      </w:r>
      <w:r w:rsidR="009D01A9" w:rsidRPr="002D2B26">
        <w:rPr>
          <w:rFonts w:ascii="Arial" w:hAnsi="Arial" w:cs="Arial"/>
          <w:sz w:val="24"/>
          <w:szCs w:val="24"/>
        </w:rPr>
        <w:t>odr</w:t>
      </w:r>
      <w:r w:rsidR="006B0FAA">
        <w:rPr>
          <w:rFonts w:ascii="Arial" w:hAnsi="Arial" w:cs="Arial"/>
          <w:sz w:val="24"/>
          <w:szCs w:val="24"/>
        </w:rPr>
        <w:t xml:space="preserve">icanju </w:t>
      </w:r>
      <w:r w:rsidR="009D01A9" w:rsidRPr="002D2B26">
        <w:rPr>
          <w:rFonts w:ascii="Arial" w:hAnsi="Arial" w:cs="Arial"/>
          <w:sz w:val="24"/>
          <w:szCs w:val="24"/>
        </w:rPr>
        <w:t>od prava na odvojeno namirenje</w:t>
      </w:r>
      <w:r w:rsidR="006B0FAA">
        <w:rPr>
          <w:rFonts w:ascii="Arial" w:hAnsi="Arial" w:cs="Arial"/>
          <w:sz w:val="24"/>
          <w:szCs w:val="24"/>
        </w:rPr>
        <w:t xml:space="preserve"> ili su dali Izjavu da pristaju na odgodu namirenja</w:t>
      </w:r>
      <w:r w:rsidR="009D01A9" w:rsidRPr="002D2B26">
        <w:rPr>
          <w:rFonts w:ascii="Arial" w:hAnsi="Arial" w:cs="Arial"/>
          <w:sz w:val="24"/>
          <w:szCs w:val="24"/>
        </w:rPr>
        <w:t>.</w:t>
      </w:r>
      <w:r w:rsidR="002D2B26">
        <w:rPr>
          <w:rFonts w:ascii="Arial" w:hAnsi="Arial" w:cs="Arial"/>
          <w:sz w:val="24"/>
          <w:szCs w:val="24"/>
        </w:rPr>
        <w:t xml:space="preserve"> </w:t>
      </w:r>
    </w:p>
    <w:p w:rsidR="00697A51" w:rsidRPr="006B0FAA" w:rsidRDefault="009D01A9" w:rsidP="00697A51">
      <w:pPr>
        <w:autoSpaceDE w:val="0"/>
        <w:autoSpaceDN w:val="0"/>
        <w:adjustRightInd w:val="0"/>
        <w:spacing w:before="120" w:after="120" w:line="240" w:lineRule="auto"/>
        <w:jc w:val="both"/>
        <w:rPr>
          <w:rFonts w:ascii="Arial" w:hAnsi="Arial" w:cs="Arial"/>
          <w:sz w:val="24"/>
          <w:szCs w:val="24"/>
          <w:lang w:val="x-none"/>
        </w:rPr>
      </w:pPr>
      <w:r>
        <w:rPr>
          <w:rFonts w:ascii="Times New Roman" w:hAnsi="Times New Roman" w:cs="Times New Roman"/>
          <w:sz w:val="24"/>
          <w:szCs w:val="24"/>
        </w:rPr>
        <w:t xml:space="preserve"> </w:t>
      </w:r>
      <w:r w:rsidR="00104026">
        <w:rPr>
          <w:rFonts w:ascii="Times New Roman" w:hAnsi="Times New Roman" w:cs="Times New Roman"/>
          <w:sz w:val="24"/>
          <w:szCs w:val="24"/>
        </w:rPr>
        <w:tab/>
      </w:r>
      <w:r w:rsidR="00697A51" w:rsidRPr="006B0FAA">
        <w:rPr>
          <w:rFonts w:ascii="Arial" w:hAnsi="Arial" w:cs="Arial"/>
          <w:sz w:val="24"/>
          <w:szCs w:val="24"/>
          <w:lang w:val="x-none"/>
        </w:rPr>
        <w:t>Sud će sastaviti popis vjerovnika i prava glasa koja im pripadaju</w:t>
      </w:r>
      <w:r w:rsidR="003B5ABF" w:rsidRPr="006B0FAA">
        <w:rPr>
          <w:rStyle w:val="Referencafusnote"/>
          <w:rFonts w:ascii="Arial" w:hAnsi="Arial" w:cs="Arial"/>
          <w:sz w:val="24"/>
          <w:szCs w:val="24"/>
          <w:lang w:val="x-none"/>
        </w:rPr>
        <w:footnoteReference w:id="226"/>
      </w:r>
      <w:r w:rsidR="00697A51" w:rsidRPr="006B0FAA">
        <w:rPr>
          <w:rFonts w:ascii="Arial" w:hAnsi="Arial" w:cs="Arial"/>
          <w:sz w:val="24"/>
          <w:szCs w:val="24"/>
          <w:lang w:val="x-none"/>
        </w:rPr>
        <w:t>.</w:t>
      </w:r>
    </w:p>
    <w:p w:rsidR="005B4265" w:rsidRPr="006B0FAA" w:rsidRDefault="00BA5873" w:rsidP="00697A51">
      <w:pPr>
        <w:autoSpaceDE w:val="0"/>
        <w:autoSpaceDN w:val="0"/>
        <w:adjustRightInd w:val="0"/>
        <w:spacing w:before="120" w:after="120" w:line="240" w:lineRule="auto"/>
        <w:jc w:val="both"/>
        <w:rPr>
          <w:rFonts w:ascii="Arial" w:hAnsi="Arial" w:cs="Arial"/>
          <w:sz w:val="24"/>
          <w:szCs w:val="24"/>
        </w:rPr>
      </w:pPr>
      <w:r>
        <w:rPr>
          <w:rFonts w:ascii="Times New Roman" w:hAnsi="Times New Roman" w:cs="Times New Roman"/>
          <w:sz w:val="24"/>
          <w:szCs w:val="24"/>
        </w:rPr>
        <w:tab/>
      </w:r>
      <w:r w:rsidR="00697A51" w:rsidRPr="006B0FAA">
        <w:rPr>
          <w:rFonts w:ascii="Arial" w:hAnsi="Arial" w:cs="Arial"/>
          <w:sz w:val="24"/>
          <w:szCs w:val="24"/>
          <w:lang w:val="x-none"/>
        </w:rPr>
        <w:t>Vjerovnici glasuju pisanim putem na propisanom obrascu za glasovanje</w:t>
      </w:r>
      <w:r w:rsidR="005B4265" w:rsidRPr="006B0FAA">
        <w:rPr>
          <w:rFonts w:ascii="Arial" w:hAnsi="Arial" w:cs="Arial"/>
          <w:sz w:val="24"/>
          <w:szCs w:val="24"/>
        </w:rPr>
        <w:t xml:space="preserve"> na način da glasuju ZA ili PROTIV </w:t>
      </w:r>
      <w:r w:rsidR="006B0FAA" w:rsidRPr="006B0FAA">
        <w:rPr>
          <w:rFonts w:ascii="Arial" w:hAnsi="Arial" w:cs="Arial"/>
          <w:sz w:val="24"/>
          <w:szCs w:val="24"/>
        </w:rPr>
        <w:t xml:space="preserve">prijedloga </w:t>
      </w:r>
      <w:r w:rsidR="005B4265" w:rsidRPr="006B0FAA">
        <w:rPr>
          <w:rFonts w:ascii="Arial" w:hAnsi="Arial" w:cs="Arial"/>
          <w:sz w:val="24"/>
          <w:szCs w:val="24"/>
        </w:rPr>
        <w:t>plana restrukt</w:t>
      </w:r>
      <w:r w:rsidR="003B5ABF" w:rsidRPr="006B0FAA">
        <w:rPr>
          <w:rFonts w:ascii="Arial" w:hAnsi="Arial" w:cs="Arial"/>
          <w:sz w:val="24"/>
          <w:szCs w:val="24"/>
        </w:rPr>
        <w:t>u</w:t>
      </w:r>
      <w:r w:rsidR="005B4265" w:rsidRPr="006B0FAA">
        <w:rPr>
          <w:rFonts w:ascii="Arial" w:hAnsi="Arial" w:cs="Arial"/>
          <w:sz w:val="24"/>
          <w:szCs w:val="24"/>
        </w:rPr>
        <w:t>riranja</w:t>
      </w:r>
      <w:r w:rsidR="00697A51" w:rsidRPr="006B0FAA">
        <w:rPr>
          <w:rFonts w:ascii="Arial" w:hAnsi="Arial" w:cs="Arial"/>
          <w:sz w:val="24"/>
          <w:szCs w:val="24"/>
          <w:lang w:val="x-none"/>
        </w:rPr>
        <w:t xml:space="preserve">. </w:t>
      </w:r>
      <w:r w:rsidRPr="006B0FAA">
        <w:rPr>
          <w:rFonts w:ascii="Arial" w:hAnsi="Arial" w:cs="Arial"/>
          <w:sz w:val="24"/>
          <w:szCs w:val="24"/>
        </w:rPr>
        <w:t>Popunjeni o</w:t>
      </w:r>
      <w:proofErr w:type="spellStart"/>
      <w:r w:rsidR="00697A51" w:rsidRPr="006B0FAA">
        <w:rPr>
          <w:rFonts w:ascii="Arial" w:hAnsi="Arial" w:cs="Arial"/>
          <w:sz w:val="24"/>
          <w:szCs w:val="24"/>
          <w:lang w:val="x-none"/>
        </w:rPr>
        <w:t>brazac</w:t>
      </w:r>
      <w:proofErr w:type="spellEnd"/>
      <w:r w:rsidR="00697A51" w:rsidRPr="006B0FAA">
        <w:rPr>
          <w:rFonts w:ascii="Arial" w:hAnsi="Arial" w:cs="Arial"/>
          <w:sz w:val="24"/>
          <w:szCs w:val="24"/>
          <w:lang w:val="x-none"/>
        </w:rPr>
        <w:t xml:space="preserve"> za glasovanje </w:t>
      </w:r>
      <w:r w:rsidRPr="006B0FAA">
        <w:rPr>
          <w:rFonts w:ascii="Arial" w:hAnsi="Arial" w:cs="Arial"/>
          <w:sz w:val="24"/>
          <w:szCs w:val="24"/>
        </w:rPr>
        <w:t>može se dostaviti uz prijavu tražbine</w:t>
      </w:r>
      <w:r w:rsidRPr="006B0FAA">
        <w:rPr>
          <w:rStyle w:val="Referencafusnote"/>
          <w:rFonts w:ascii="Arial" w:hAnsi="Arial" w:cs="Arial"/>
          <w:sz w:val="24"/>
          <w:szCs w:val="24"/>
        </w:rPr>
        <w:footnoteReference w:id="227"/>
      </w:r>
      <w:r w:rsidR="006B0FAA" w:rsidRPr="006B0FAA">
        <w:rPr>
          <w:rFonts w:ascii="Arial" w:hAnsi="Arial" w:cs="Arial"/>
          <w:sz w:val="24"/>
          <w:szCs w:val="24"/>
        </w:rPr>
        <w:t>,</w:t>
      </w:r>
      <w:r w:rsidRPr="006B0FAA">
        <w:rPr>
          <w:rFonts w:ascii="Arial" w:hAnsi="Arial" w:cs="Arial"/>
          <w:sz w:val="24"/>
          <w:szCs w:val="24"/>
        </w:rPr>
        <w:t xml:space="preserve"> </w:t>
      </w:r>
      <w:r w:rsidR="00023037" w:rsidRPr="006B0FAA">
        <w:rPr>
          <w:rFonts w:ascii="Arial" w:hAnsi="Arial" w:cs="Arial"/>
          <w:sz w:val="24"/>
          <w:szCs w:val="24"/>
        </w:rPr>
        <w:t xml:space="preserve">a najkasnije </w:t>
      </w:r>
      <w:r w:rsidR="00023037" w:rsidRPr="006B0FAA">
        <w:rPr>
          <w:rFonts w:ascii="Arial" w:hAnsi="Arial" w:cs="Arial"/>
          <w:sz w:val="24"/>
          <w:szCs w:val="24"/>
          <w:lang w:val="x-none"/>
        </w:rPr>
        <w:t xml:space="preserve">mora biti dostavljen sudu </w:t>
      </w:r>
      <w:r w:rsidR="00697A51" w:rsidRPr="006B0FAA">
        <w:rPr>
          <w:rFonts w:ascii="Arial" w:hAnsi="Arial" w:cs="Arial"/>
          <w:sz w:val="24"/>
          <w:szCs w:val="24"/>
          <w:lang w:val="x-none"/>
        </w:rPr>
        <w:t xml:space="preserve">do početka ročišta za glasovanje te ga mora potpisati i ovjeriti ovlaštena osoba. Ako je vjerovnik pravna osoba, uz obrazac mora biti priložen dokaz da ga je potpisala ovlaštena osoba. </w:t>
      </w:r>
      <w:r w:rsidR="00AC7DDB" w:rsidRPr="006B0FAA">
        <w:rPr>
          <w:rFonts w:ascii="Arial" w:hAnsi="Arial" w:cs="Arial"/>
          <w:sz w:val="24"/>
          <w:szCs w:val="24"/>
        </w:rPr>
        <w:t xml:space="preserve">Moguće je da ovlaštena osoba ovjeri svoj potpis na obrascu za glasovanje kod javnog bilježnika, ali </w:t>
      </w:r>
      <w:r w:rsidR="005B4265" w:rsidRPr="006B0FAA">
        <w:rPr>
          <w:rFonts w:ascii="Arial" w:hAnsi="Arial" w:cs="Arial"/>
          <w:sz w:val="24"/>
          <w:szCs w:val="24"/>
        </w:rPr>
        <w:t>koji</w:t>
      </w:r>
      <w:r w:rsidR="00AC7DDB" w:rsidRPr="006B0FAA">
        <w:rPr>
          <w:rFonts w:ascii="Arial" w:hAnsi="Arial" w:cs="Arial"/>
          <w:sz w:val="24"/>
          <w:szCs w:val="24"/>
        </w:rPr>
        <w:t xml:space="preserve"> bi to drugi dokazi </w:t>
      </w:r>
      <w:r w:rsidR="003B5ABF" w:rsidRPr="006B0FAA">
        <w:rPr>
          <w:rFonts w:ascii="Arial" w:hAnsi="Arial" w:cs="Arial"/>
          <w:sz w:val="24"/>
          <w:szCs w:val="24"/>
        </w:rPr>
        <w:t xml:space="preserve">mogli biti </w:t>
      </w:r>
      <w:r w:rsidR="00AC7DDB" w:rsidRPr="006B0FAA">
        <w:rPr>
          <w:rFonts w:ascii="Arial" w:hAnsi="Arial" w:cs="Arial"/>
          <w:sz w:val="24"/>
          <w:szCs w:val="24"/>
        </w:rPr>
        <w:t xml:space="preserve">nije </w:t>
      </w:r>
      <w:r w:rsidR="00023037" w:rsidRPr="006B0FAA">
        <w:rPr>
          <w:rFonts w:ascii="Arial" w:hAnsi="Arial" w:cs="Arial"/>
          <w:sz w:val="24"/>
          <w:szCs w:val="24"/>
        </w:rPr>
        <w:t>određeno zakonom.</w:t>
      </w:r>
    </w:p>
    <w:p w:rsidR="00697A51" w:rsidRPr="006B0FAA" w:rsidRDefault="005B4265" w:rsidP="00697A51">
      <w:pPr>
        <w:autoSpaceDE w:val="0"/>
        <w:autoSpaceDN w:val="0"/>
        <w:adjustRightInd w:val="0"/>
        <w:spacing w:before="120" w:after="120" w:line="240" w:lineRule="auto"/>
        <w:jc w:val="both"/>
        <w:rPr>
          <w:rFonts w:ascii="Arial" w:hAnsi="Arial" w:cs="Arial"/>
          <w:sz w:val="24"/>
          <w:szCs w:val="24"/>
          <w:lang w:val="x-none"/>
        </w:rPr>
      </w:pPr>
      <w:r>
        <w:rPr>
          <w:rFonts w:ascii="Times New Roman" w:hAnsi="Times New Roman" w:cs="Times New Roman"/>
          <w:sz w:val="24"/>
          <w:szCs w:val="24"/>
        </w:rPr>
        <w:tab/>
      </w:r>
      <w:r w:rsidR="00697A51" w:rsidRPr="006B0FAA">
        <w:rPr>
          <w:rFonts w:ascii="Arial" w:hAnsi="Arial" w:cs="Arial"/>
          <w:sz w:val="24"/>
          <w:szCs w:val="24"/>
          <w:lang w:val="x-none"/>
        </w:rPr>
        <w:t xml:space="preserve">Ako vjerovnici do početka ročišta za glasovanje ne dostave obrazac za glasovanje ili dostave obrazac iz kojeg se ne može nedvojbeno utvrditi kako su glasovali, smatrat će se da su glasovali protiv </w:t>
      </w:r>
      <w:r w:rsidR="006B0FAA">
        <w:rPr>
          <w:rFonts w:ascii="Arial" w:hAnsi="Arial" w:cs="Arial"/>
          <w:sz w:val="24"/>
          <w:szCs w:val="24"/>
        </w:rPr>
        <w:t xml:space="preserve">prijedloga </w:t>
      </w:r>
      <w:r w:rsidR="00697A51" w:rsidRPr="006B0FAA">
        <w:rPr>
          <w:rFonts w:ascii="Arial" w:hAnsi="Arial" w:cs="Arial"/>
          <w:sz w:val="24"/>
          <w:szCs w:val="24"/>
          <w:lang w:val="x-none"/>
        </w:rPr>
        <w:t>plana restrukturiranja.</w:t>
      </w:r>
    </w:p>
    <w:p w:rsidR="00697A51" w:rsidRPr="00C61DE1" w:rsidRDefault="005B4265" w:rsidP="00697A51">
      <w:pPr>
        <w:autoSpaceDE w:val="0"/>
        <w:autoSpaceDN w:val="0"/>
        <w:adjustRightInd w:val="0"/>
        <w:spacing w:before="120" w:after="120" w:line="240" w:lineRule="auto"/>
        <w:jc w:val="both"/>
        <w:rPr>
          <w:rFonts w:ascii="Arial" w:hAnsi="Arial" w:cs="Arial"/>
          <w:sz w:val="24"/>
          <w:szCs w:val="24"/>
          <w:lang w:val="x-none"/>
        </w:rPr>
      </w:pPr>
      <w:r>
        <w:rPr>
          <w:rFonts w:ascii="Times New Roman" w:hAnsi="Times New Roman" w:cs="Times New Roman"/>
          <w:sz w:val="24"/>
          <w:szCs w:val="24"/>
        </w:rPr>
        <w:tab/>
      </w:r>
      <w:r w:rsidR="00697A51" w:rsidRPr="00C61DE1">
        <w:rPr>
          <w:rFonts w:ascii="Arial" w:hAnsi="Arial" w:cs="Arial"/>
          <w:sz w:val="24"/>
          <w:szCs w:val="24"/>
          <w:lang w:val="x-none"/>
        </w:rPr>
        <w:t xml:space="preserve">Vjerovnici nazočni na ročištu glasuju na propisanom obrascu za glasovanje. Ako vjerovnici s pravom glasa ne glasuju ni na tom ročištu, smatrat će se da su glasovali protiv </w:t>
      </w:r>
      <w:r w:rsidR="00C61DE1" w:rsidRPr="00C61DE1">
        <w:rPr>
          <w:rFonts w:ascii="Arial" w:hAnsi="Arial" w:cs="Arial"/>
          <w:sz w:val="24"/>
          <w:szCs w:val="24"/>
        </w:rPr>
        <w:t xml:space="preserve">prijedloga </w:t>
      </w:r>
      <w:r w:rsidR="00697A51" w:rsidRPr="00C61DE1">
        <w:rPr>
          <w:rFonts w:ascii="Arial" w:hAnsi="Arial" w:cs="Arial"/>
          <w:sz w:val="24"/>
          <w:szCs w:val="24"/>
          <w:lang w:val="x-none"/>
        </w:rPr>
        <w:t>plana restrukturiranja</w:t>
      </w:r>
      <w:r w:rsidR="003B5ABF" w:rsidRPr="00C61DE1">
        <w:rPr>
          <w:rStyle w:val="Referencafusnote"/>
          <w:rFonts w:ascii="Arial" w:hAnsi="Arial" w:cs="Arial"/>
          <w:sz w:val="24"/>
          <w:szCs w:val="24"/>
          <w:lang w:val="x-none"/>
        </w:rPr>
        <w:footnoteReference w:id="228"/>
      </w:r>
      <w:r w:rsidR="00697A51" w:rsidRPr="00C61DE1">
        <w:rPr>
          <w:rFonts w:ascii="Arial" w:hAnsi="Arial" w:cs="Arial"/>
          <w:sz w:val="24"/>
          <w:szCs w:val="24"/>
          <w:lang w:val="x-none"/>
        </w:rPr>
        <w:t>.</w:t>
      </w:r>
    </w:p>
    <w:p w:rsidR="00697A51" w:rsidRPr="00C61DE1" w:rsidRDefault="005B4265" w:rsidP="00697A51">
      <w:pPr>
        <w:autoSpaceDE w:val="0"/>
        <w:autoSpaceDN w:val="0"/>
        <w:adjustRightInd w:val="0"/>
        <w:spacing w:before="120" w:after="120" w:line="240" w:lineRule="auto"/>
        <w:jc w:val="both"/>
        <w:rPr>
          <w:rFonts w:ascii="Arial" w:hAnsi="Arial" w:cs="Arial"/>
          <w:sz w:val="24"/>
          <w:szCs w:val="24"/>
          <w:lang w:val="x-none"/>
        </w:rPr>
      </w:pPr>
      <w:r w:rsidRPr="00C61DE1">
        <w:rPr>
          <w:rFonts w:ascii="Arial" w:hAnsi="Arial" w:cs="Arial"/>
          <w:sz w:val="24"/>
          <w:szCs w:val="24"/>
        </w:rPr>
        <w:tab/>
      </w:r>
      <w:r w:rsidR="00697A51" w:rsidRPr="00C61DE1">
        <w:rPr>
          <w:rFonts w:ascii="Arial" w:hAnsi="Arial" w:cs="Arial"/>
          <w:sz w:val="24"/>
          <w:szCs w:val="24"/>
          <w:lang w:val="x-none"/>
        </w:rPr>
        <w:t>Sud će o provedenom glasovanju sastaviti poseban zapisnik koji potpisuju dužnik i povjerenik ako je imenovan</w:t>
      </w:r>
      <w:r w:rsidR="009E2982" w:rsidRPr="00C61DE1">
        <w:rPr>
          <w:rStyle w:val="Referencafusnote"/>
          <w:rFonts w:ascii="Arial" w:hAnsi="Arial" w:cs="Arial"/>
          <w:sz w:val="24"/>
          <w:szCs w:val="24"/>
          <w:lang w:val="x-none"/>
        </w:rPr>
        <w:footnoteReference w:id="229"/>
      </w:r>
      <w:r w:rsidR="00697A51" w:rsidRPr="00C61DE1">
        <w:rPr>
          <w:rFonts w:ascii="Arial" w:hAnsi="Arial" w:cs="Arial"/>
          <w:sz w:val="24"/>
          <w:szCs w:val="24"/>
          <w:lang w:val="x-none"/>
        </w:rPr>
        <w:t>.</w:t>
      </w:r>
    </w:p>
    <w:p w:rsidR="00D57AEA" w:rsidRPr="00C61DE1" w:rsidRDefault="008C6DAF" w:rsidP="008C6DAF">
      <w:pPr>
        <w:autoSpaceDE w:val="0"/>
        <w:autoSpaceDN w:val="0"/>
        <w:adjustRightInd w:val="0"/>
        <w:spacing w:before="120" w:after="120" w:line="240" w:lineRule="auto"/>
        <w:jc w:val="both"/>
        <w:rPr>
          <w:rFonts w:ascii="Arial" w:hAnsi="Arial" w:cs="Arial"/>
          <w:sz w:val="24"/>
          <w:szCs w:val="24"/>
        </w:rPr>
      </w:pPr>
      <w:r>
        <w:rPr>
          <w:rFonts w:ascii="Times New Roman" w:hAnsi="Times New Roman" w:cs="Times New Roman"/>
          <w:sz w:val="24"/>
          <w:szCs w:val="24"/>
        </w:rPr>
        <w:tab/>
      </w:r>
      <w:r w:rsidR="009E2982" w:rsidRPr="00C61DE1">
        <w:rPr>
          <w:rFonts w:ascii="Arial" w:hAnsi="Arial" w:cs="Arial"/>
          <w:sz w:val="24"/>
          <w:szCs w:val="24"/>
        </w:rPr>
        <w:t xml:space="preserve">Svaka skupina vjerovnika s pravom glasa odvojeno glasuje o </w:t>
      </w:r>
      <w:r w:rsidR="00C61DE1">
        <w:rPr>
          <w:rFonts w:ascii="Arial" w:hAnsi="Arial" w:cs="Arial"/>
          <w:sz w:val="24"/>
          <w:szCs w:val="24"/>
        </w:rPr>
        <w:t>prijedlogu plana</w:t>
      </w:r>
      <w:r w:rsidR="009E2982" w:rsidRPr="00C61DE1">
        <w:rPr>
          <w:rFonts w:ascii="Arial" w:hAnsi="Arial" w:cs="Arial"/>
          <w:sz w:val="24"/>
          <w:szCs w:val="24"/>
        </w:rPr>
        <w:t xml:space="preserve"> restrukturiranja. </w:t>
      </w:r>
      <w:r w:rsidRPr="00C61DE1">
        <w:rPr>
          <w:rFonts w:ascii="Arial" w:hAnsi="Arial" w:cs="Arial"/>
          <w:sz w:val="24"/>
          <w:szCs w:val="24"/>
          <w:lang w:val="x-none"/>
        </w:rPr>
        <w:t xml:space="preserve">Pravila o razvrstavanju sudionika u stečajnom planu na odgovarajući način se primjenjuju na razvrstavanje vjerovnika u </w:t>
      </w:r>
      <w:proofErr w:type="spellStart"/>
      <w:r w:rsidRPr="00C61DE1">
        <w:rPr>
          <w:rFonts w:ascii="Arial" w:hAnsi="Arial" w:cs="Arial"/>
          <w:sz w:val="24"/>
          <w:szCs w:val="24"/>
          <w:lang w:val="x-none"/>
        </w:rPr>
        <w:t>predstečajnom</w:t>
      </w:r>
      <w:proofErr w:type="spellEnd"/>
      <w:r w:rsidRPr="00C61DE1">
        <w:rPr>
          <w:rFonts w:ascii="Arial" w:hAnsi="Arial" w:cs="Arial"/>
          <w:sz w:val="24"/>
          <w:szCs w:val="24"/>
          <w:lang w:val="x-none"/>
        </w:rPr>
        <w:t xml:space="preserve"> postupku</w:t>
      </w:r>
      <w:r w:rsidR="009E2982" w:rsidRPr="00C61DE1">
        <w:rPr>
          <w:rStyle w:val="Referencafusnote"/>
          <w:rFonts w:ascii="Arial" w:hAnsi="Arial" w:cs="Arial"/>
          <w:sz w:val="24"/>
          <w:szCs w:val="24"/>
          <w:lang w:val="x-none"/>
        </w:rPr>
        <w:footnoteReference w:id="230"/>
      </w:r>
      <w:r w:rsidRPr="00C61DE1">
        <w:rPr>
          <w:rFonts w:ascii="Arial" w:hAnsi="Arial" w:cs="Arial"/>
          <w:sz w:val="24"/>
          <w:szCs w:val="24"/>
          <w:lang w:val="x-none"/>
        </w:rPr>
        <w:t>.</w:t>
      </w:r>
      <w:r w:rsidR="00CB1B90" w:rsidRPr="00C61DE1">
        <w:rPr>
          <w:rFonts w:ascii="Arial" w:hAnsi="Arial" w:cs="Arial"/>
          <w:sz w:val="24"/>
          <w:szCs w:val="24"/>
        </w:rPr>
        <w:t xml:space="preserve"> </w:t>
      </w:r>
      <w:r w:rsidRPr="00C61DE1">
        <w:rPr>
          <w:rFonts w:ascii="Arial" w:hAnsi="Arial" w:cs="Arial"/>
          <w:sz w:val="24"/>
          <w:szCs w:val="24"/>
        </w:rPr>
        <w:t xml:space="preserve">Slijedom tog, vjerovnici u planu restrukturiranja </w:t>
      </w:r>
      <w:r w:rsidR="00CB1B90" w:rsidRPr="00C61DE1">
        <w:rPr>
          <w:rFonts w:ascii="Arial" w:hAnsi="Arial" w:cs="Arial"/>
          <w:sz w:val="24"/>
          <w:szCs w:val="24"/>
        </w:rPr>
        <w:t xml:space="preserve">mogu se </w:t>
      </w:r>
      <w:r w:rsidRPr="00C61DE1">
        <w:rPr>
          <w:rFonts w:ascii="Arial" w:hAnsi="Arial" w:cs="Arial"/>
          <w:sz w:val="24"/>
          <w:szCs w:val="24"/>
        </w:rPr>
        <w:t>razvrsta</w:t>
      </w:r>
      <w:r w:rsidR="00CB1B90" w:rsidRPr="00C61DE1">
        <w:rPr>
          <w:rFonts w:ascii="Arial" w:hAnsi="Arial" w:cs="Arial"/>
          <w:sz w:val="24"/>
          <w:szCs w:val="24"/>
        </w:rPr>
        <w:t>ti</w:t>
      </w:r>
      <w:r w:rsidRPr="00C61DE1">
        <w:rPr>
          <w:rFonts w:ascii="Arial" w:hAnsi="Arial" w:cs="Arial"/>
          <w:sz w:val="24"/>
          <w:szCs w:val="24"/>
        </w:rPr>
        <w:t xml:space="preserve"> prema utvrđivanju njihovih prava. Vjerovnici s različitim pravnim položajem razvrstavaju se u posebne skupine</w:t>
      </w:r>
      <w:r w:rsidR="00D57AEA" w:rsidRPr="00C61DE1">
        <w:rPr>
          <w:rFonts w:ascii="Arial" w:hAnsi="Arial" w:cs="Arial"/>
          <w:sz w:val="24"/>
          <w:szCs w:val="24"/>
        </w:rPr>
        <w:t xml:space="preserve"> (npr. skupina </w:t>
      </w:r>
      <w:proofErr w:type="spellStart"/>
      <w:r w:rsidR="0046205A">
        <w:rPr>
          <w:rFonts w:ascii="Arial" w:hAnsi="Arial" w:cs="Arial"/>
          <w:sz w:val="24"/>
          <w:szCs w:val="24"/>
        </w:rPr>
        <w:t>pred</w:t>
      </w:r>
      <w:r w:rsidR="00D57AEA" w:rsidRPr="00C61DE1">
        <w:rPr>
          <w:rFonts w:ascii="Arial" w:hAnsi="Arial" w:cs="Arial"/>
          <w:sz w:val="24"/>
          <w:szCs w:val="24"/>
        </w:rPr>
        <w:t>stečajnih</w:t>
      </w:r>
      <w:proofErr w:type="spellEnd"/>
      <w:r w:rsidR="00D57AEA" w:rsidRPr="00C61DE1">
        <w:rPr>
          <w:rFonts w:ascii="Arial" w:hAnsi="Arial" w:cs="Arial"/>
          <w:sz w:val="24"/>
          <w:szCs w:val="24"/>
        </w:rPr>
        <w:t xml:space="preserve"> vjerovnika, skupina </w:t>
      </w:r>
      <w:proofErr w:type="spellStart"/>
      <w:r w:rsidR="00D57AEA" w:rsidRPr="00C61DE1">
        <w:rPr>
          <w:rFonts w:ascii="Arial" w:hAnsi="Arial" w:cs="Arial"/>
          <w:sz w:val="24"/>
          <w:szCs w:val="24"/>
        </w:rPr>
        <w:t>razlučnih</w:t>
      </w:r>
      <w:proofErr w:type="spellEnd"/>
      <w:r w:rsidR="00D57AEA" w:rsidRPr="00C61DE1">
        <w:rPr>
          <w:rFonts w:ascii="Arial" w:hAnsi="Arial" w:cs="Arial"/>
          <w:sz w:val="24"/>
          <w:szCs w:val="24"/>
        </w:rPr>
        <w:t xml:space="preserve"> v</w:t>
      </w:r>
      <w:r w:rsidR="00DC7D3B" w:rsidRPr="00C61DE1">
        <w:rPr>
          <w:rFonts w:ascii="Arial" w:hAnsi="Arial" w:cs="Arial"/>
          <w:sz w:val="24"/>
          <w:szCs w:val="24"/>
        </w:rPr>
        <w:t>j</w:t>
      </w:r>
      <w:r w:rsidR="00D57AEA" w:rsidRPr="00C61DE1">
        <w:rPr>
          <w:rFonts w:ascii="Arial" w:hAnsi="Arial" w:cs="Arial"/>
          <w:sz w:val="24"/>
          <w:szCs w:val="24"/>
        </w:rPr>
        <w:t>erovnika s pravom glasa)</w:t>
      </w:r>
      <w:r w:rsidRPr="00C61DE1">
        <w:rPr>
          <w:rFonts w:ascii="Arial" w:hAnsi="Arial" w:cs="Arial"/>
          <w:sz w:val="24"/>
          <w:szCs w:val="24"/>
        </w:rPr>
        <w:t>.</w:t>
      </w:r>
    </w:p>
    <w:p w:rsidR="008C6DAF" w:rsidRPr="00C61DE1" w:rsidRDefault="008C6DAF" w:rsidP="008C6DAF">
      <w:pPr>
        <w:autoSpaceDE w:val="0"/>
        <w:autoSpaceDN w:val="0"/>
        <w:adjustRightInd w:val="0"/>
        <w:spacing w:before="120" w:after="120" w:line="240" w:lineRule="auto"/>
        <w:jc w:val="both"/>
        <w:rPr>
          <w:rFonts w:ascii="Arial" w:hAnsi="Arial" w:cs="Arial"/>
          <w:sz w:val="24"/>
          <w:szCs w:val="24"/>
          <w:lang w:val="x-none"/>
        </w:rPr>
      </w:pPr>
      <w:r w:rsidRPr="00C61DE1">
        <w:rPr>
          <w:rFonts w:ascii="Arial" w:hAnsi="Arial" w:cs="Arial"/>
          <w:sz w:val="24"/>
          <w:szCs w:val="24"/>
        </w:rPr>
        <w:tab/>
        <w:t xml:space="preserve">Vjerovnici istog pravnog položaja mogu se razvrstati </w:t>
      </w:r>
      <w:r w:rsidRPr="00C61DE1">
        <w:rPr>
          <w:rFonts w:ascii="Arial" w:hAnsi="Arial" w:cs="Arial"/>
          <w:sz w:val="24"/>
          <w:szCs w:val="24"/>
          <w:lang w:val="x-none"/>
        </w:rPr>
        <w:t xml:space="preserve">u skupine prema istovrsnosti gospodarskih interesa. Takvo razvrstavanje mora se temeljiti na valjanim razlozima. U </w:t>
      </w:r>
      <w:r w:rsidR="0046205A">
        <w:rPr>
          <w:rFonts w:ascii="Arial" w:hAnsi="Arial" w:cs="Arial"/>
          <w:sz w:val="24"/>
          <w:szCs w:val="24"/>
        </w:rPr>
        <w:t xml:space="preserve">prijedlogu </w:t>
      </w:r>
      <w:r w:rsidRPr="00C61DE1">
        <w:rPr>
          <w:rFonts w:ascii="Arial" w:hAnsi="Arial" w:cs="Arial"/>
          <w:sz w:val="24"/>
          <w:szCs w:val="24"/>
        </w:rPr>
        <w:t>plan</w:t>
      </w:r>
      <w:r w:rsidR="0046205A">
        <w:rPr>
          <w:rFonts w:ascii="Arial" w:hAnsi="Arial" w:cs="Arial"/>
          <w:sz w:val="24"/>
          <w:szCs w:val="24"/>
        </w:rPr>
        <w:t>a</w:t>
      </w:r>
      <w:r w:rsidRPr="00C61DE1">
        <w:rPr>
          <w:rFonts w:ascii="Arial" w:hAnsi="Arial" w:cs="Arial"/>
          <w:sz w:val="24"/>
          <w:szCs w:val="24"/>
        </w:rPr>
        <w:t xml:space="preserve"> restrukturiranja </w:t>
      </w:r>
      <w:r w:rsidRPr="00C61DE1">
        <w:rPr>
          <w:rFonts w:ascii="Arial" w:hAnsi="Arial" w:cs="Arial"/>
          <w:sz w:val="24"/>
          <w:szCs w:val="24"/>
          <w:lang w:val="x-none"/>
        </w:rPr>
        <w:t xml:space="preserve">navest će se kriteriji za razvrstavanje. Ako bi prema planu </w:t>
      </w:r>
      <w:r w:rsidRPr="00C61DE1">
        <w:rPr>
          <w:rFonts w:ascii="Arial" w:hAnsi="Arial" w:cs="Arial"/>
          <w:sz w:val="24"/>
          <w:szCs w:val="24"/>
        </w:rPr>
        <w:t>restrukturiranja</w:t>
      </w:r>
      <w:r w:rsidRPr="00C61DE1">
        <w:rPr>
          <w:rFonts w:ascii="Arial" w:hAnsi="Arial" w:cs="Arial"/>
          <w:sz w:val="24"/>
          <w:szCs w:val="24"/>
          <w:lang w:val="x-none"/>
        </w:rPr>
        <w:t xml:space="preserve"> </w:t>
      </w:r>
      <w:r w:rsidRPr="00C61DE1">
        <w:rPr>
          <w:rFonts w:ascii="Arial" w:hAnsi="Arial" w:cs="Arial"/>
          <w:sz w:val="24"/>
          <w:szCs w:val="24"/>
          <w:lang w:val="x-none"/>
        </w:rPr>
        <w:lastRenderedPageBreak/>
        <w:t>njegovi učinci bili jednaki prema svim vjerovnicima, ti se vjerovnici neće razvrstati u posebne skupine.</w:t>
      </w:r>
    </w:p>
    <w:p w:rsidR="00697A51" w:rsidRPr="00C61DE1" w:rsidRDefault="008C6DAF" w:rsidP="00697A51">
      <w:pPr>
        <w:autoSpaceDE w:val="0"/>
        <w:autoSpaceDN w:val="0"/>
        <w:adjustRightInd w:val="0"/>
        <w:spacing w:before="120" w:after="120" w:line="240" w:lineRule="auto"/>
        <w:jc w:val="both"/>
        <w:rPr>
          <w:rFonts w:ascii="Arial" w:hAnsi="Arial" w:cs="Arial"/>
          <w:sz w:val="24"/>
          <w:szCs w:val="24"/>
          <w:lang w:val="x-none"/>
        </w:rPr>
      </w:pPr>
      <w:r w:rsidRPr="00C61DE1">
        <w:rPr>
          <w:rFonts w:ascii="Arial" w:hAnsi="Arial" w:cs="Arial"/>
          <w:sz w:val="24"/>
          <w:szCs w:val="24"/>
        </w:rPr>
        <w:tab/>
      </w:r>
      <w:r w:rsidR="00697A51" w:rsidRPr="00C61DE1">
        <w:rPr>
          <w:rFonts w:ascii="Arial" w:hAnsi="Arial" w:cs="Arial"/>
          <w:sz w:val="24"/>
          <w:szCs w:val="24"/>
          <w:lang w:val="x-none"/>
        </w:rPr>
        <w:t xml:space="preserve">Svaka skupina vjerovnika s pravom glasa odvojeno glasuje o </w:t>
      </w:r>
      <w:r w:rsidR="0046205A">
        <w:rPr>
          <w:rFonts w:ascii="Arial" w:hAnsi="Arial" w:cs="Arial"/>
          <w:sz w:val="24"/>
          <w:szCs w:val="24"/>
        </w:rPr>
        <w:t xml:space="preserve">prijedlogu </w:t>
      </w:r>
      <w:r w:rsidR="00697A51" w:rsidRPr="00C61DE1">
        <w:rPr>
          <w:rFonts w:ascii="Arial" w:hAnsi="Arial" w:cs="Arial"/>
          <w:sz w:val="24"/>
          <w:szCs w:val="24"/>
          <w:lang w:val="x-none"/>
        </w:rPr>
        <w:t>plan</w:t>
      </w:r>
      <w:r w:rsidR="0046205A">
        <w:rPr>
          <w:rFonts w:ascii="Arial" w:hAnsi="Arial" w:cs="Arial"/>
          <w:sz w:val="24"/>
          <w:szCs w:val="24"/>
        </w:rPr>
        <w:t>a</w:t>
      </w:r>
      <w:r w:rsidR="00697A51" w:rsidRPr="00C61DE1">
        <w:rPr>
          <w:rFonts w:ascii="Arial" w:hAnsi="Arial" w:cs="Arial"/>
          <w:sz w:val="24"/>
          <w:szCs w:val="24"/>
          <w:lang w:val="x-none"/>
        </w:rPr>
        <w:t xml:space="preserve"> restrukturiranja. Smatrat će se da su vjerovnici prihvatili plan restrukturiranja ako je za njega glasovala većina svih vjerovnika </w:t>
      </w:r>
      <w:r w:rsidR="00D57AEA" w:rsidRPr="00C61DE1">
        <w:rPr>
          <w:rFonts w:ascii="Arial" w:hAnsi="Arial" w:cs="Arial"/>
          <w:sz w:val="24"/>
          <w:szCs w:val="24"/>
        </w:rPr>
        <w:t xml:space="preserve">s pravom glasa </w:t>
      </w:r>
      <w:r w:rsidR="00697A51" w:rsidRPr="00C61DE1">
        <w:rPr>
          <w:rFonts w:ascii="Arial" w:hAnsi="Arial" w:cs="Arial"/>
          <w:sz w:val="24"/>
          <w:szCs w:val="24"/>
          <w:lang w:val="x-none"/>
        </w:rPr>
        <w:t>i ako u svakoj skupini zbroj tražbina vjerovnika koji su glasovali za plan dvostruko prelazi zbroj tražbina vjerovnika koji su glasovali protiv prihvaćanja plana.</w:t>
      </w:r>
    </w:p>
    <w:p w:rsidR="00697A51" w:rsidRPr="0046205A" w:rsidRDefault="000505FC" w:rsidP="00697A51">
      <w:pPr>
        <w:autoSpaceDE w:val="0"/>
        <w:autoSpaceDN w:val="0"/>
        <w:adjustRightInd w:val="0"/>
        <w:spacing w:before="120" w:after="120" w:line="240" w:lineRule="auto"/>
        <w:jc w:val="both"/>
        <w:rPr>
          <w:rFonts w:ascii="Arial" w:hAnsi="Arial" w:cs="Arial"/>
          <w:sz w:val="24"/>
          <w:szCs w:val="24"/>
          <w:lang w:val="x-none"/>
        </w:rPr>
      </w:pPr>
      <w:r>
        <w:rPr>
          <w:rFonts w:ascii="Times New Roman" w:hAnsi="Times New Roman" w:cs="Times New Roman"/>
          <w:sz w:val="24"/>
          <w:szCs w:val="24"/>
        </w:rPr>
        <w:tab/>
      </w:r>
      <w:r w:rsidR="00697A51" w:rsidRPr="0046205A">
        <w:rPr>
          <w:rFonts w:ascii="Arial" w:hAnsi="Arial" w:cs="Arial"/>
          <w:sz w:val="24"/>
          <w:szCs w:val="24"/>
          <w:lang w:val="x-none"/>
        </w:rPr>
        <w:t xml:space="preserve">Vjerovnici koji imaju neko zajedničko pravo ili čija su prava do nastanka </w:t>
      </w:r>
      <w:proofErr w:type="spellStart"/>
      <w:r w:rsidR="00697A51" w:rsidRPr="0046205A">
        <w:rPr>
          <w:rFonts w:ascii="Arial" w:hAnsi="Arial" w:cs="Arial"/>
          <w:sz w:val="24"/>
          <w:szCs w:val="24"/>
          <w:lang w:val="x-none"/>
        </w:rPr>
        <w:t>predstečajnog</w:t>
      </w:r>
      <w:proofErr w:type="spellEnd"/>
      <w:r w:rsidR="00697A51" w:rsidRPr="0046205A">
        <w:rPr>
          <w:rFonts w:ascii="Arial" w:hAnsi="Arial" w:cs="Arial"/>
          <w:sz w:val="24"/>
          <w:szCs w:val="24"/>
          <w:lang w:val="x-none"/>
        </w:rPr>
        <w:t xml:space="preserve"> razloga činila jedinstveno pravo računaju se pri glasovanju kao jedan vjerovnik</w:t>
      </w:r>
      <w:r w:rsidR="0087330C" w:rsidRPr="0046205A">
        <w:rPr>
          <w:rStyle w:val="Referencafusnote"/>
          <w:rFonts w:ascii="Arial" w:hAnsi="Arial" w:cs="Arial"/>
          <w:sz w:val="24"/>
          <w:szCs w:val="24"/>
          <w:lang w:val="x-none"/>
        </w:rPr>
        <w:footnoteReference w:id="231"/>
      </w:r>
      <w:r w:rsidR="00697A51" w:rsidRPr="0046205A">
        <w:rPr>
          <w:rFonts w:ascii="Arial" w:hAnsi="Arial" w:cs="Arial"/>
          <w:sz w:val="24"/>
          <w:szCs w:val="24"/>
          <w:lang w:val="x-none"/>
        </w:rPr>
        <w:t xml:space="preserve">. Na odgovarajući način postupit će se i s nositeljima </w:t>
      </w:r>
      <w:proofErr w:type="spellStart"/>
      <w:r w:rsidR="00697A51" w:rsidRPr="0046205A">
        <w:rPr>
          <w:rFonts w:ascii="Arial" w:hAnsi="Arial" w:cs="Arial"/>
          <w:sz w:val="24"/>
          <w:szCs w:val="24"/>
          <w:lang w:val="x-none"/>
        </w:rPr>
        <w:t>razlučnih</w:t>
      </w:r>
      <w:proofErr w:type="spellEnd"/>
      <w:r w:rsidR="00697A51" w:rsidRPr="0046205A">
        <w:rPr>
          <w:rFonts w:ascii="Arial" w:hAnsi="Arial" w:cs="Arial"/>
          <w:sz w:val="24"/>
          <w:szCs w:val="24"/>
          <w:lang w:val="x-none"/>
        </w:rPr>
        <w:t xml:space="preserve"> prava ili prava </w:t>
      </w:r>
      <w:proofErr w:type="spellStart"/>
      <w:r w:rsidR="00697A51" w:rsidRPr="0046205A">
        <w:rPr>
          <w:rFonts w:ascii="Arial" w:hAnsi="Arial" w:cs="Arial"/>
          <w:sz w:val="24"/>
          <w:szCs w:val="24"/>
          <w:lang w:val="x-none"/>
        </w:rPr>
        <w:t>plodouživanja</w:t>
      </w:r>
      <w:proofErr w:type="spellEnd"/>
      <w:r w:rsidR="00697A51" w:rsidRPr="0046205A">
        <w:rPr>
          <w:rFonts w:ascii="Arial" w:hAnsi="Arial" w:cs="Arial"/>
          <w:sz w:val="24"/>
          <w:szCs w:val="24"/>
          <w:lang w:val="x-none"/>
        </w:rPr>
        <w:t>.</w:t>
      </w:r>
    </w:p>
    <w:p w:rsidR="00697A51" w:rsidRPr="00650ABB" w:rsidRDefault="000505FC" w:rsidP="00697A51">
      <w:pPr>
        <w:autoSpaceDE w:val="0"/>
        <w:autoSpaceDN w:val="0"/>
        <w:adjustRightInd w:val="0"/>
        <w:spacing w:before="120" w:after="120" w:line="240" w:lineRule="auto"/>
        <w:jc w:val="both"/>
        <w:rPr>
          <w:rFonts w:ascii="Arial" w:hAnsi="Arial" w:cs="Arial"/>
          <w:sz w:val="24"/>
          <w:szCs w:val="24"/>
          <w:lang w:val="x-none"/>
        </w:rPr>
      </w:pPr>
      <w:r>
        <w:rPr>
          <w:rFonts w:ascii="Times New Roman" w:hAnsi="Times New Roman" w:cs="Times New Roman"/>
          <w:sz w:val="24"/>
          <w:szCs w:val="24"/>
        </w:rPr>
        <w:tab/>
      </w:r>
      <w:r w:rsidR="00697A51" w:rsidRPr="00650ABB">
        <w:rPr>
          <w:rFonts w:ascii="Arial" w:hAnsi="Arial" w:cs="Arial"/>
          <w:sz w:val="24"/>
          <w:szCs w:val="24"/>
          <w:lang w:val="x-none"/>
        </w:rPr>
        <w:t>Dužnik i većina vjerovnika nazočnih na ročištu za glasovanje mogu zatražiti od suda odgodu ročišta na rok do osam dana. Ročište za glasovanje može se odgoditi najviše jedanput.</w:t>
      </w:r>
    </w:p>
    <w:p w:rsidR="000505FC" w:rsidRPr="00650ABB" w:rsidRDefault="000505FC" w:rsidP="000505FC">
      <w:pPr>
        <w:autoSpaceDE w:val="0"/>
        <w:autoSpaceDN w:val="0"/>
        <w:adjustRightInd w:val="0"/>
        <w:spacing w:before="120" w:after="120" w:line="240" w:lineRule="auto"/>
        <w:jc w:val="both"/>
        <w:rPr>
          <w:rFonts w:ascii="Arial" w:hAnsi="Arial" w:cs="Arial"/>
          <w:sz w:val="24"/>
          <w:szCs w:val="24"/>
          <w:lang w:val="x-none"/>
        </w:rPr>
      </w:pPr>
      <w:r>
        <w:rPr>
          <w:rFonts w:ascii="Times New Roman" w:hAnsi="Times New Roman" w:cs="Times New Roman"/>
          <w:sz w:val="24"/>
          <w:szCs w:val="24"/>
        </w:rPr>
        <w:tab/>
      </w:r>
      <w:r w:rsidR="00697A51" w:rsidRPr="00650ABB">
        <w:rPr>
          <w:rFonts w:ascii="Arial" w:hAnsi="Arial" w:cs="Arial"/>
          <w:sz w:val="24"/>
          <w:szCs w:val="24"/>
          <w:lang w:val="x-none"/>
        </w:rPr>
        <w:t>Ako se na ročištu za glasovanje koji od vjerovnika očituje da nije suglasan s predloženim planom restrukturiranja, odnosno ako se prema Zakonu smatra da je koji od vjerovnika glasovao protiv plana restrukturiranja, dužnik može zatražiti od suda odgodu ročišta na rok do 15 dana radi</w:t>
      </w:r>
      <w:r w:rsidR="00650ABB" w:rsidRPr="00650ABB">
        <w:rPr>
          <w:rFonts w:ascii="Arial" w:hAnsi="Arial" w:cs="Arial"/>
          <w:sz w:val="24"/>
          <w:szCs w:val="24"/>
          <w:lang w:val="x-none"/>
        </w:rPr>
        <w:t xml:space="preserve"> izmjene plana restrukturiranja</w:t>
      </w:r>
      <w:r w:rsidR="00650ABB" w:rsidRPr="00650ABB">
        <w:rPr>
          <w:rFonts w:ascii="Arial" w:hAnsi="Arial" w:cs="Arial"/>
          <w:sz w:val="24"/>
          <w:szCs w:val="24"/>
        </w:rPr>
        <w:t xml:space="preserve"> pod pretpostavkom da se nije glasovalo o planu restrukturiranja.</w:t>
      </w:r>
      <w:r w:rsidR="00726C25">
        <w:rPr>
          <w:rStyle w:val="Referencafusnote"/>
          <w:rFonts w:ascii="Arial" w:hAnsi="Arial" w:cs="Arial"/>
          <w:sz w:val="24"/>
          <w:szCs w:val="24"/>
        </w:rPr>
        <w:footnoteReference w:id="232"/>
      </w:r>
      <w:r w:rsidRPr="00650ABB">
        <w:rPr>
          <w:rFonts w:ascii="Arial" w:hAnsi="Arial" w:cs="Arial"/>
          <w:sz w:val="24"/>
          <w:szCs w:val="24"/>
        </w:rPr>
        <w:t xml:space="preserve"> </w:t>
      </w:r>
      <w:r w:rsidR="00697A51" w:rsidRPr="00650ABB">
        <w:rPr>
          <w:rFonts w:ascii="Arial" w:hAnsi="Arial" w:cs="Arial"/>
          <w:sz w:val="24"/>
          <w:szCs w:val="24"/>
          <w:lang w:val="x-none"/>
        </w:rPr>
        <w:t>U slučaju odgode ročišta</w:t>
      </w:r>
      <w:r w:rsidRPr="00650ABB">
        <w:rPr>
          <w:rFonts w:ascii="Arial" w:hAnsi="Arial" w:cs="Arial"/>
          <w:sz w:val="24"/>
          <w:szCs w:val="24"/>
          <w:lang w:val="x-none"/>
        </w:rPr>
        <w:t xml:space="preserve"> radi izmjene plana restrukturiranja</w:t>
      </w:r>
      <w:r w:rsidR="00697A51" w:rsidRPr="00650ABB">
        <w:rPr>
          <w:rFonts w:ascii="Arial" w:hAnsi="Arial" w:cs="Arial"/>
          <w:sz w:val="24"/>
          <w:szCs w:val="24"/>
          <w:lang w:val="x-none"/>
        </w:rPr>
        <w:t xml:space="preserve">, izmijenjeni plan restrukturiranja dužnik je dužan dostaviti sudu u roku od osam dana od dana odgođenoga ročišta. </w:t>
      </w:r>
      <w:r w:rsidRPr="00650ABB">
        <w:rPr>
          <w:rFonts w:ascii="Arial" w:hAnsi="Arial" w:cs="Arial"/>
          <w:sz w:val="24"/>
          <w:szCs w:val="24"/>
          <w:lang w:val="x-none"/>
        </w:rPr>
        <w:t>Pravodobno dostavljen izmijenjeni plan restrukturiranja sud će u roku od tri dana od dana primitka objaviti na mrežnoj stranici e-Oglasna ploča sudova.</w:t>
      </w:r>
    </w:p>
    <w:p w:rsidR="00575D8F" w:rsidRPr="00726C25" w:rsidRDefault="000505FC" w:rsidP="000505FC">
      <w:pPr>
        <w:autoSpaceDE w:val="0"/>
        <w:autoSpaceDN w:val="0"/>
        <w:adjustRightInd w:val="0"/>
        <w:spacing w:before="120" w:after="120" w:line="240" w:lineRule="auto"/>
        <w:jc w:val="both"/>
        <w:rPr>
          <w:rFonts w:ascii="Arial" w:hAnsi="Arial" w:cs="Arial"/>
          <w:sz w:val="24"/>
          <w:szCs w:val="24"/>
        </w:rPr>
      </w:pPr>
      <w:r>
        <w:rPr>
          <w:rFonts w:ascii="Times New Roman" w:hAnsi="Times New Roman" w:cs="Times New Roman"/>
          <w:sz w:val="24"/>
          <w:szCs w:val="24"/>
        </w:rPr>
        <w:tab/>
      </w:r>
      <w:r w:rsidR="00697A51" w:rsidRPr="00726C25">
        <w:rPr>
          <w:rFonts w:ascii="Arial" w:hAnsi="Arial" w:cs="Arial"/>
          <w:sz w:val="24"/>
          <w:szCs w:val="24"/>
          <w:lang w:val="x-none"/>
        </w:rPr>
        <w:t>Ako dužnik ne dostavi sudu izmijenjeni plan restrukturiranja u propisanom roku, sud ć</w:t>
      </w:r>
      <w:r w:rsidRPr="00726C25">
        <w:rPr>
          <w:rFonts w:ascii="Arial" w:hAnsi="Arial" w:cs="Arial"/>
          <w:sz w:val="24"/>
          <w:szCs w:val="24"/>
          <w:lang w:val="x-none"/>
        </w:rPr>
        <w:t>e obustaviti postupak</w:t>
      </w:r>
      <w:r w:rsidRPr="00726C25">
        <w:rPr>
          <w:rFonts w:ascii="Arial" w:hAnsi="Arial" w:cs="Arial"/>
          <w:sz w:val="24"/>
          <w:szCs w:val="24"/>
        </w:rPr>
        <w:t xml:space="preserve"> te nastaviti postupak </w:t>
      </w:r>
      <w:r w:rsidRPr="00726C25">
        <w:rPr>
          <w:rFonts w:ascii="Arial" w:hAnsi="Arial" w:cs="Arial"/>
          <w:sz w:val="24"/>
          <w:szCs w:val="24"/>
          <w:lang w:val="x-none"/>
        </w:rPr>
        <w:t>kao da je podnesen prijedlog za otvaranje stečajnoga postupka, osim ako utvrdi da je dužnik sposoban za plaćanje i da je ispunio sve obveze prema vjerovnicima</w:t>
      </w:r>
      <w:r w:rsidR="00DA400A" w:rsidRPr="00726C25">
        <w:rPr>
          <w:rFonts w:ascii="Arial" w:hAnsi="Arial" w:cs="Arial"/>
          <w:sz w:val="24"/>
          <w:szCs w:val="24"/>
        </w:rPr>
        <w:t>.</w:t>
      </w:r>
    </w:p>
    <w:p w:rsidR="00DA400A" w:rsidRPr="00DA400A" w:rsidRDefault="00DA400A" w:rsidP="000505FC">
      <w:pPr>
        <w:autoSpaceDE w:val="0"/>
        <w:autoSpaceDN w:val="0"/>
        <w:adjustRightInd w:val="0"/>
        <w:spacing w:before="120" w:after="120" w:line="240" w:lineRule="auto"/>
        <w:jc w:val="both"/>
        <w:rPr>
          <w:rFonts w:ascii="Times New Roman" w:hAnsi="Times New Roman" w:cs="Times New Roman"/>
          <w:sz w:val="24"/>
          <w:szCs w:val="24"/>
        </w:rPr>
      </w:pPr>
    </w:p>
    <w:p w:rsidR="00697A51" w:rsidRDefault="00281FC4" w:rsidP="00281FC4">
      <w:pPr>
        <w:pStyle w:val="Naslov2"/>
      </w:pPr>
      <w:bookmarkStart w:id="41" w:name="_Toc507067638"/>
      <w:r>
        <w:t xml:space="preserve">3.3. </w:t>
      </w:r>
      <w:r w:rsidR="00697A51" w:rsidRPr="00281FC4">
        <w:t xml:space="preserve">Potvrda </w:t>
      </w:r>
      <w:proofErr w:type="spellStart"/>
      <w:r w:rsidR="00697A51" w:rsidRPr="00281FC4">
        <w:t>predstečajnog</w:t>
      </w:r>
      <w:proofErr w:type="spellEnd"/>
      <w:r w:rsidR="00697A51" w:rsidRPr="00281FC4">
        <w:t xml:space="preserve"> sporazuma</w:t>
      </w:r>
      <w:r w:rsidR="00D158FE" w:rsidRPr="00726C25">
        <w:rPr>
          <w:rStyle w:val="Referencafusnote"/>
          <w:rFonts w:cs="Arial"/>
          <w:b w:val="0"/>
          <w:iCs/>
          <w:sz w:val="24"/>
          <w:szCs w:val="24"/>
          <w:lang w:val="x-none"/>
        </w:rPr>
        <w:footnoteReference w:id="233"/>
      </w:r>
      <w:bookmarkEnd w:id="41"/>
    </w:p>
    <w:p w:rsidR="00281FC4" w:rsidRPr="00281FC4" w:rsidRDefault="00281FC4" w:rsidP="00281FC4"/>
    <w:p w:rsidR="00697A51" w:rsidRPr="00726C25" w:rsidRDefault="000505FC" w:rsidP="00697A51">
      <w:pPr>
        <w:autoSpaceDE w:val="0"/>
        <w:autoSpaceDN w:val="0"/>
        <w:adjustRightInd w:val="0"/>
        <w:spacing w:before="120" w:after="120" w:line="240" w:lineRule="auto"/>
        <w:jc w:val="both"/>
        <w:rPr>
          <w:rFonts w:ascii="Arial" w:hAnsi="Arial" w:cs="Arial"/>
          <w:sz w:val="24"/>
          <w:szCs w:val="24"/>
          <w:lang w:val="x-none"/>
        </w:rPr>
      </w:pPr>
      <w:r>
        <w:rPr>
          <w:rFonts w:ascii="Times New Roman" w:hAnsi="Times New Roman" w:cs="Times New Roman"/>
          <w:sz w:val="24"/>
          <w:szCs w:val="24"/>
        </w:rPr>
        <w:tab/>
      </w:r>
      <w:r w:rsidR="00697A51" w:rsidRPr="00726C25">
        <w:rPr>
          <w:rFonts w:ascii="Arial" w:hAnsi="Arial" w:cs="Arial"/>
          <w:sz w:val="24"/>
          <w:szCs w:val="24"/>
          <w:lang w:val="x-none"/>
        </w:rPr>
        <w:t xml:space="preserve">Ako vjerovnici prihvate plan restrukturiranja, sud će rješenjem utvrditi prihvaćanje plana restrukturiranja i potvrditi </w:t>
      </w:r>
      <w:proofErr w:type="spellStart"/>
      <w:r w:rsidR="00697A51" w:rsidRPr="00726C25">
        <w:rPr>
          <w:rFonts w:ascii="Arial" w:hAnsi="Arial" w:cs="Arial"/>
          <w:sz w:val="24"/>
          <w:szCs w:val="24"/>
          <w:lang w:val="x-none"/>
        </w:rPr>
        <w:t>predstečajni</w:t>
      </w:r>
      <w:proofErr w:type="spellEnd"/>
      <w:r w:rsidR="00697A51" w:rsidRPr="00726C25">
        <w:rPr>
          <w:rFonts w:ascii="Arial" w:hAnsi="Arial" w:cs="Arial"/>
          <w:sz w:val="24"/>
          <w:szCs w:val="24"/>
          <w:lang w:val="x-none"/>
        </w:rPr>
        <w:t xml:space="preserve"> sporazum, osim ako:</w:t>
      </w:r>
    </w:p>
    <w:p w:rsidR="00697A51" w:rsidRDefault="001D12A1" w:rsidP="00726C25">
      <w:pPr>
        <w:pStyle w:val="Bezproreda"/>
        <w:ind w:firstLine="708"/>
        <w:jc w:val="both"/>
      </w:pPr>
      <w:r w:rsidRPr="00726C25">
        <w:t xml:space="preserve">- </w:t>
      </w:r>
      <w:r w:rsidR="00697A51" w:rsidRPr="00726C25">
        <w:t>koji od vjerovnika učini vjerojatnim da se planom restrukturiranja umanjuju prava ispod razine koju bi razumno očekivao ostvariti u slučaju neprovedbe restrukturiranja poslovanja dužnika</w:t>
      </w:r>
      <w:r w:rsidR="00726C25">
        <w:t xml:space="preserve"> -</w:t>
      </w:r>
      <w:r w:rsidR="00756E7E" w:rsidRPr="00726C25">
        <w:t xml:space="preserve"> ostaje otvoreno pitanje mogućnosti da se u kratkom roku provjeri očekivana razina</w:t>
      </w:r>
      <w:r w:rsidR="00726C25">
        <w:t xml:space="preserve"> </w:t>
      </w:r>
      <w:r w:rsidR="00756E7E" w:rsidRPr="00726C25">
        <w:t>ostvarenja prava imajući u vidu da nema instrumentalnih mogućnosti da se provjeri bi li neprovedbom restrukturiranja ra</w:t>
      </w:r>
      <w:r w:rsidR="00726C25">
        <w:t>zina prava vjerovnika bila veća,</w:t>
      </w:r>
      <w:r w:rsidR="00756E7E" w:rsidRPr="00726C25">
        <w:t xml:space="preserve"> </w:t>
      </w:r>
    </w:p>
    <w:p w:rsidR="00697A51" w:rsidRDefault="001D12A1" w:rsidP="00726C25">
      <w:pPr>
        <w:pStyle w:val="Bezproreda"/>
        <w:ind w:firstLine="708"/>
        <w:jc w:val="both"/>
      </w:pPr>
      <w:r w:rsidRPr="00726C25">
        <w:t xml:space="preserve">- </w:t>
      </w:r>
      <w:r w:rsidR="00697A51" w:rsidRPr="00726C25">
        <w:t>iz plana restrukturiranja ne proizlazi vjerojatnost da će njegova provedba omogućiti sposobnost za plaćanje dužniku u razdoblju do kraja tekuće i u dvije sljedeće kalendarske godine</w:t>
      </w:r>
      <w:r w:rsidR="00184778" w:rsidRPr="00726C25">
        <w:t>,</w:t>
      </w:r>
    </w:p>
    <w:p w:rsidR="00697A51" w:rsidRPr="00726C25" w:rsidRDefault="001D12A1" w:rsidP="00726C25">
      <w:pPr>
        <w:pStyle w:val="Bezproreda"/>
        <w:ind w:firstLine="708"/>
        <w:jc w:val="both"/>
      </w:pPr>
      <w:r w:rsidRPr="00726C25">
        <w:t xml:space="preserve">- </w:t>
      </w:r>
      <w:r w:rsidR="00697A51" w:rsidRPr="00726C25">
        <w:t>planom restrukturiranja nije određeno namirenje iznosa koji bi dobili vjerovnici da njihova tražbina nije osporena</w:t>
      </w:r>
      <w:r w:rsidR="00184778" w:rsidRPr="00726C25">
        <w:t xml:space="preserve"> – plan restrukturiranja mora odrediti iznos i način namirenja tražbina koje su osporene</w:t>
      </w:r>
      <w:r w:rsidR="00F94D6F" w:rsidRPr="00726C25">
        <w:t>,</w:t>
      </w:r>
    </w:p>
    <w:p w:rsidR="00697A51" w:rsidRPr="00726C25" w:rsidRDefault="001D12A1" w:rsidP="00726C25">
      <w:pPr>
        <w:pStyle w:val="Bezproreda"/>
        <w:ind w:firstLine="708"/>
        <w:jc w:val="both"/>
      </w:pPr>
      <w:r w:rsidRPr="00726C25">
        <w:t xml:space="preserve">- </w:t>
      </w:r>
      <w:r w:rsidR="00697A51" w:rsidRPr="00726C25">
        <w:t xml:space="preserve">je planom restrukturiranja predloženo pretvaranje tražbine jednog ili više vjerovnika u temeljni kapital dužnika, </w:t>
      </w:r>
      <w:r w:rsidR="00726C25">
        <w:t xml:space="preserve">a </w:t>
      </w:r>
      <w:r w:rsidR="00697A51" w:rsidRPr="00726C25">
        <w:t>članovi dužnika nisu u skladu sa Zakonom o trgovačkim društvima donijeli odluku kojom se to dopušta.</w:t>
      </w:r>
    </w:p>
    <w:p w:rsidR="00697A51" w:rsidRPr="00726C25" w:rsidRDefault="000505FC" w:rsidP="00697A51">
      <w:pPr>
        <w:autoSpaceDE w:val="0"/>
        <w:autoSpaceDN w:val="0"/>
        <w:adjustRightInd w:val="0"/>
        <w:spacing w:before="120" w:after="120" w:line="240" w:lineRule="auto"/>
        <w:jc w:val="both"/>
        <w:rPr>
          <w:rFonts w:ascii="Arial" w:hAnsi="Arial" w:cs="Arial"/>
          <w:sz w:val="24"/>
          <w:szCs w:val="24"/>
          <w:lang w:val="x-none"/>
        </w:rPr>
      </w:pPr>
      <w:r>
        <w:rPr>
          <w:rFonts w:ascii="Times New Roman" w:hAnsi="Times New Roman" w:cs="Times New Roman"/>
          <w:sz w:val="24"/>
          <w:szCs w:val="24"/>
        </w:rPr>
        <w:tab/>
      </w:r>
      <w:r w:rsidR="00697A51" w:rsidRPr="00726C25">
        <w:rPr>
          <w:rFonts w:ascii="Arial" w:hAnsi="Arial" w:cs="Arial"/>
          <w:sz w:val="24"/>
          <w:szCs w:val="24"/>
          <w:lang w:val="x-none"/>
        </w:rPr>
        <w:t xml:space="preserve">Ako nisu ispunjene pretpostavke za potvrdu </w:t>
      </w:r>
      <w:proofErr w:type="spellStart"/>
      <w:r w:rsidR="00697A51" w:rsidRPr="00726C25">
        <w:rPr>
          <w:rFonts w:ascii="Arial" w:hAnsi="Arial" w:cs="Arial"/>
          <w:sz w:val="24"/>
          <w:szCs w:val="24"/>
          <w:lang w:val="x-none"/>
        </w:rPr>
        <w:t>predstečajnog</w:t>
      </w:r>
      <w:proofErr w:type="spellEnd"/>
      <w:r w:rsidR="00697A51" w:rsidRPr="00726C25">
        <w:rPr>
          <w:rFonts w:ascii="Arial" w:hAnsi="Arial" w:cs="Arial"/>
          <w:sz w:val="24"/>
          <w:szCs w:val="24"/>
          <w:lang w:val="x-none"/>
        </w:rPr>
        <w:t xml:space="preserve"> sporazuma, sud će rješenjem utvrditi uskraćivanje potvrde </w:t>
      </w:r>
      <w:proofErr w:type="spellStart"/>
      <w:r w:rsidR="00697A51" w:rsidRPr="00726C25">
        <w:rPr>
          <w:rFonts w:ascii="Arial" w:hAnsi="Arial" w:cs="Arial"/>
          <w:sz w:val="24"/>
          <w:szCs w:val="24"/>
          <w:lang w:val="x-none"/>
        </w:rPr>
        <w:t>predstečajnog</w:t>
      </w:r>
      <w:proofErr w:type="spellEnd"/>
      <w:r w:rsidR="00697A51" w:rsidRPr="00726C25">
        <w:rPr>
          <w:rFonts w:ascii="Arial" w:hAnsi="Arial" w:cs="Arial"/>
          <w:sz w:val="24"/>
          <w:szCs w:val="24"/>
          <w:lang w:val="x-none"/>
        </w:rPr>
        <w:t xml:space="preserve"> sporazuma i obustaviti postupak</w:t>
      </w:r>
      <w:r w:rsidRPr="00726C25">
        <w:rPr>
          <w:rFonts w:ascii="Arial" w:hAnsi="Arial" w:cs="Arial"/>
          <w:sz w:val="24"/>
          <w:szCs w:val="24"/>
        </w:rPr>
        <w:t xml:space="preserve"> te nastaviti postupak </w:t>
      </w:r>
      <w:r w:rsidRPr="00726C25">
        <w:rPr>
          <w:rFonts w:ascii="Arial" w:hAnsi="Arial" w:cs="Arial"/>
          <w:sz w:val="24"/>
          <w:szCs w:val="24"/>
          <w:lang w:val="x-none"/>
        </w:rPr>
        <w:lastRenderedPageBreak/>
        <w:t>kao da je podnesen prijedlog za otvaranje stečajnoga postupka, osim ako utvrdi da je dužnik sposoban za plaćanje i da je ispunio sve obveze prema vjerovnicima</w:t>
      </w:r>
      <w:r w:rsidR="00697A51" w:rsidRPr="00726C25">
        <w:rPr>
          <w:rFonts w:ascii="Arial" w:hAnsi="Arial" w:cs="Arial"/>
          <w:sz w:val="24"/>
          <w:szCs w:val="24"/>
          <w:lang w:val="x-none"/>
        </w:rPr>
        <w:t>.</w:t>
      </w:r>
      <w:r w:rsidR="00726C25">
        <w:rPr>
          <w:rStyle w:val="Referencafusnote"/>
          <w:rFonts w:ascii="Arial" w:hAnsi="Arial" w:cs="Arial"/>
          <w:sz w:val="24"/>
          <w:szCs w:val="24"/>
          <w:lang w:val="x-none"/>
        </w:rPr>
        <w:footnoteReference w:id="234"/>
      </w:r>
    </w:p>
    <w:p w:rsidR="00697A51" w:rsidRPr="00726C25" w:rsidRDefault="000505FC" w:rsidP="00697A51">
      <w:pPr>
        <w:autoSpaceDE w:val="0"/>
        <w:autoSpaceDN w:val="0"/>
        <w:adjustRightInd w:val="0"/>
        <w:spacing w:before="120" w:after="120" w:line="240" w:lineRule="auto"/>
        <w:jc w:val="both"/>
        <w:rPr>
          <w:rFonts w:ascii="Arial" w:hAnsi="Arial" w:cs="Arial"/>
          <w:sz w:val="24"/>
          <w:szCs w:val="24"/>
          <w:lang w:val="x-none"/>
        </w:rPr>
      </w:pPr>
      <w:r>
        <w:rPr>
          <w:rFonts w:ascii="Times New Roman" w:hAnsi="Times New Roman" w:cs="Times New Roman"/>
          <w:sz w:val="24"/>
          <w:szCs w:val="24"/>
        </w:rPr>
        <w:tab/>
      </w:r>
      <w:r w:rsidR="00697A51" w:rsidRPr="00726C25">
        <w:rPr>
          <w:rFonts w:ascii="Arial" w:hAnsi="Arial" w:cs="Arial"/>
          <w:sz w:val="24"/>
          <w:szCs w:val="24"/>
          <w:lang w:val="x-none"/>
        </w:rPr>
        <w:t xml:space="preserve">Rješenje kojim se potvrđuje </w:t>
      </w:r>
      <w:proofErr w:type="spellStart"/>
      <w:r w:rsidR="00697A51" w:rsidRPr="00726C25">
        <w:rPr>
          <w:rFonts w:ascii="Arial" w:hAnsi="Arial" w:cs="Arial"/>
          <w:sz w:val="24"/>
          <w:szCs w:val="24"/>
          <w:lang w:val="x-none"/>
        </w:rPr>
        <w:t>predstečajni</w:t>
      </w:r>
      <w:proofErr w:type="spellEnd"/>
      <w:r w:rsidR="00697A51" w:rsidRPr="00726C25">
        <w:rPr>
          <w:rFonts w:ascii="Arial" w:hAnsi="Arial" w:cs="Arial"/>
          <w:sz w:val="24"/>
          <w:szCs w:val="24"/>
          <w:lang w:val="x-none"/>
        </w:rPr>
        <w:t xml:space="preserve"> sporazum ili se potvrda uskraćuje i obustavlja postupak objavit će se na mrežnoj stranici e-Oglasna ploča sudova. Podatak o potvrdi </w:t>
      </w:r>
      <w:proofErr w:type="spellStart"/>
      <w:r w:rsidR="00697A51" w:rsidRPr="00726C25">
        <w:rPr>
          <w:rFonts w:ascii="Arial" w:hAnsi="Arial" w:cs="Arial"/>
          <w:sz w:val="24"/>
          <w:szCs w:val="24"/>
          <w:lang w:val="x-none"/>
        </w:rPr>
        <w:t>predstečajnoga</w:t>
      </w:r>
      <w:proofErr w:type="spellEnd"/>
      <w:r w:rsidR="00697A51" w:rsidRPr="00726C25">
        <w:rPr>
          <w:rFonts w:ascii="Arial" w:hAnsi="Arial" w:cs="Arial"/>
          <w:sz w:val="24"/>
          <w:szCs w:val="24"/>
          <w:lang w:val="x-none"/>
        </w:rPr>
        <w:t xml:space="preserve"> sporazuma ili uskrati potvrde i obustavi postupka upisat će se u registar u kojem je dužnik upisan.</w:t>
      </w:r>
      <w:r w:rsidR="00726C25">
        <w:rPr>
          <w:rStyle w:val="Referencafusnote"/>
          <w:rFonts w:ascii="Arial" w:hAnsi="Arial" w:cs="Arial"/>
          <w:sz w:val="24"/>
          <w:szCs w:val="24"/>
          <w:lang w:val="x-none"/>
        </w:rPr>
        <w:footnoteReference w:id="235"/>
      </w:r>
    </w:p>
    <w:p w:rsidR="00756FDF" w:rsidRPr="00304A16" w:rsidRDefault="000505FC" w:rsidP="00575D8F">
      <w:pPr>
        <w:autoSpaceDE w:val="0"/>
        <w:autoSpaceDN w:val="0"/>
        <w:adjustRightInd w:val="0"/>
        <w:spacing w:before="120" w:after="120" w:line="240" w:lineRule="auto"/>
        <w:jc w:val="both"/>
        <w:rPr>
          <w:rFonts w:ascii="Arial" w:hAnsi="Arial" w:cs="Arial"/>
          <w:sz w:val="24"/>
          <w:szCs w:val="24"/>
        </w:rPr>
      </w:pPr>
      <w:r w:rsidRPr="00726C25">
        <w:rPr>
          <w:rFonts w:ascii="Arial" w:hAnsi="Arial" w:cs="Arial"/>
          <w:sz w:val="24"/>
          <w:szCs w:val="24"/>
        </w:rPr>
        <w:tab/>
      </w:r>
      <w:r w:rsidR="00697A51" w:rsidRPr="00726C25">
        <w:rPr>
          <w:rFonts w:ascii="Arial" w:hAnsi="Arial" w:cs="Arial"/>
          <w:sz w:val="24"/>
          <w:szCs w:val="24"/>
          <w:lang w:val="x-none"/>
        </w:rPr>
        <w:t xml:space="preserve">Pravomoćno rješenje kojim se potvrđuje </w:t>
      </w:r>
      <w:proofErr w:type="spellStart"/>
      <w:r w:rsidR="00697A51" w:rsidRPr="00726C25">
        <w:rPr>
          <w:rFonts w:ascii="Arial" w:hAnsi="Arial" w:cs="Arial"/>
          <w:sz w:val="24"/>
          <w:szCs w:val="24"/>
          <w:lang w:val="x-none"/>
        </w:rPr>
        <w:t>predstečajni</w:t>
      </w:r>
      <w:proofErr w:type="spellEnd"/>
      <w:r w:rsidR="00697A51" w:rsidRPr="00726C25">
        <w:rPr>
          <w:rFonts w:ascii="Arial" w:hAnsi="Arial" w:cs="Arial"/>
          <w:sz w:val="24"/>
          <w:szCs w:val="24"/>
          <w:lang w:val="x-none"/>
        </w:rPr>
        <w:t xml:space="preserve"> sporazum sud će dostaviti F</w:t>
      </w:r>
      <w:r w:rsidR="00575D8F" w:rsidRPr="00726C25">
        <w:rPr>
          <w:rFonts w:ascii="Arial" w:hAnsi="Arial" w:cs="Arial"/>
          <w:sz w:val="24"/>
          <w:szCs w:val="24"/>
        </w:rPr>
        <w:t>INA-i.</w:t>
      </w:r>
      <w:r w:rsidR="00726C25">
        <w:rPr>
          <w:rStyle w:val="Referencafusnote"/>
          <w:rFonts w:ascii="Arial" w:hAnsi="Arial" w:cs="Arial"/>
          <w:sz w:val="24"/>
          <w:szCs w:val="24"/>
        </w:rPr>
        <w:footnoteReference w:id="236"/>
      </w:r>
    </w:p>
    <w:p w:rsidR="00697A51" w:rsidRPr="00281FC4" w:rsidRDefault="00281FC4" w:rsidP="00281FC4">
      <w:pPr>
        <w:pStyle w:val="Naslov2"/>
      </w:pPr>
      <w:bookmarkStart w:id="42" w:name="_Toc507067639"/>
      <w:r w:rsidRPr="00281FC4">
        <w:t>3</w:t>
      </w:r>
      <w:r w:rsidR="00756FDF" w:rsidRPr="00281FC4">
        <w:t xml:space="preserve">.4. </w:t>
      </w:r>
      <w:r w:rsidR="00697A51" w:rsidRPr="00281FC4">
        <w:t xml:space="preserve">Učinci potvrđenoga </w:t>
      </w:r>
      <w:proofErr w:type="spellStart"/>
      <w:r w:rsidR="00697A51" w:rsidRPr="00281FC4">
        <w:t>predstečajnog</w:t>
      </w:r>
      <w:proofErr w:type="spellEnd"/>
      <w:r w:rsidR="00697A51" w:rsidRPr="00281FC4">
        <w:t xml:space="preserve"> sporazuma i nadzor nad njegovim ispunjenjem</w:t>
      </w:r>
      <w:r w:rsidR="00A6545D" w:rsidRPr="00281FC4">
        <w:rPr>
          <w:rStyle w:val="Referencafusnote"/>
          <w:vertAlign w:val="baseline"/>
        </w:rPr>
        <w:footnoteReference w:id="237"/>
      </w:r>
      <w:bookmarkEnd w:id="42"/>
    </w:p>
    <w:p w:rsidR="00237BAD" w:rsidRPr="00304A16" w:rsidRDefault="000505FC" w:rsidP="00697A51">
      <w:pPr>
        <w:autoSpaceDE w:val="0"/>
        <w:autoSpaceDN w:val="0"/>
        <w:adjustRightInd w:val="0"/>
        <w:spacing w:before="120" w:after="120" w:line="240" w:lineRule="auto"/>
        <w:jc w:val="both"/>
        <w:rPr>
          <w:rFonts w:ascii="Arial" w:hAnsi="Arial" w:cs="Arial"/>
          <w:sz w:val="24"/>
          <w:szCs w:val="24"/>
        </w:rPr>
      </w:pPr>
      <w:r>
        <w:rPr>
          <w:rFonts w:ascii="Times New Roman" w:hAnsi="Times New Roman" w:cs="Times New Roman"/>
          <w:sz w:val="24"/>
          <w:szCs w:val="24"/>
        </w:rPr>
        <w:tab/>
      </w:r>
      <w:r w:rsidR="00697A51" w:rsidRPr="00304A16">
        <w:rPr>
          <w:rFonts w:ascii="Arial" w:hAnsi="Arial" w:cs="Arial"/>
          <w:sz w:val="24"/>
          <w:szCs w:val="24"/>
          <w:lang w:val="x-none"/>
        </w:rPr>
        <w:t xml:space="preserve">Potvrđeni </w:t>
      </w:r>
      <w:proofErr w:type="spellStart"/>
      <w:r w:rsidR="00697A51" w:rsidRPr="00304A16">
        <w:rPr>
          <w:rFonts w:ascii="Arial" w:hAnsi="Arial" w:cs="Arial"/>
          <w:sz w:val="24"/>
          <w:szCs w:val="24"/>
          <w:lang w:val="x-none"/>
        </w:rPr>
        <w:t>predstečajni</w:t>
      </w:r>
      <w:proofErr w:type="spellEnd"/>
      <w:r w:rsidR="00697A51" w:rsidRPr="00304A16">
        <w:rPr>
          <w:rFonts w:ascii="Arial" w:hAnsi="Arial" w:cs="Arial"/>
          <w:sz w:val="24"/>
          <w:szCs w:val="24"/>
          <w:lang w:val="x-none"/>
        </w:rPr>
        <w:t xml:space="preserve"> sporazum ima pravni učinak</w:t>
      </w:r>
      <w:r w:rsidR="004E1CA1" w:rsidRPr="00304A16">
        <w:rPr>
          <w:rFonts w:ascii="Arial" w:hAnsi="Arial" w:cs="Arial"/>
          <w:sz w:val="24"/>
          <w:szCs w:val="24"/>
        </w:rPr>
        <w:t xml:space="preserve"> prema vjerovnicima koji su sudjelovali u postupku</w:t>
      </w:r>
      <w:r w:rsidR="00237BAD" w:rsidRPr="00304A16">
        <w:rPr>
          <w:rFonts w:ascii="Arial" w:hAnsi="Arial" w:cs="Arial"/>
          <w:sz w:val="24"/>
          <w:szCs w:val="24"/>
        </w:rPr>
        <w:t xml:space="preserve">, kao i </w:t>
      </w:r>
      <w:r w:rsidR="00697A51" w:rsidRPr="00304A16">
        <w:rPr>
          <w:rFonts w:ascii="Arial" w:hAnsi="Arial" w:cs="Arial"/>
          <w:sz w:val="24"/>
          <w:szCs w:val="24"/>
          <w:lang w:val="x-none"/>
        </w:rPr>
        <w:t xml:space="preserve">prema vjerovnicima koji </w:t>
      </w:r>
      <w:r w:rsidR="00304A16">
        <w:rPr>
          <w:rFonts w:ascii="Arial" w:hAnsi="Arial" w:cs="Arial"/>
          <w:sz w:val="24"/>
          <w:szCs w:val="24"/>
        </w:rPr>
        <w:t>ni</w:t>
      </w:r>
      <w:r w:rsidR="00697A51" w:rsidRPr="00304A16">
        <w:rPr>
          <w:rFonts w:ascii="Arial" w:hAnsi="Arial" w:cs="Arial"/>
          <w:sz w:val="24"/>
          <w:szCs w:val="24"/>
          <w:lang w:val="x-none"/>
        </w:rPr>
        <w:t>su sudjelovali u postupku</w:t>
      </w:r>
      <w:r w:rsidR="00876B8C">
        <w:rPr>
          <w:rStyle w:val="Referencafusnote"/>
          <w:rFonts w:ascii="Arial" w:hAnsi="Arial" w:cs="Arial"/>
          <w:sz w:val="24"/>
          <w:szCs w:val="24"/>
          <w:lang w:val="x-none"/>
        </w:rPr>
        <w:footnoteReference w:id="238"/>
      </w:r>
      <w:r w:rsidR="00697A51" w:rsidRPr="00304A16">
        <w:rPr>
          <w:rFonts w:ascii="Arial" w:hAnsi="Arial" w:cs="Arial"/>
          <w:sz w:val="24"/>
          <w:szCs w:val="24"/>
          <w:lang w:val="x-none"/>
        </w:rPr>
        <w:t>, a</w:t>
      </w:r>
      <w:r w:rsidR="00D64874">
        <w:rPr>
          <w:rFonts w:ascii="Arial" w:hAnsi="Arial" w:cs="Arial"/>
          <w:sz w:val="24"/>
          <w:szCs w:val="24"/>
        </w:rPr>
        <w:t>li i prema vjerovnicima  koji su sudjelovali u postupku, a</w:t>
      </w:r>
      <w:r w:rsidR="00697A51" w:rsidRPr="00304A16">
        <w:rPr>
          <w:rFonts w:ascii="Arial" w:hAnsi="Arial" w:cs="Arial"/>
          <w:sz w:val="24"/>
          <w:szCs w:val="24"/>
          <w:lang w:val="x-none"/>
        </w:rPr>
        <w:t xml:space="preserve"> njihove se osporene tražbine naknadno utvrde</w:t>
      </w:r>
      <w:r w:rsidR="00D64874">
        <w:rPr>
          <w:rFonts w:ascii="Arial" w:hAnsi="Arial" w:cs="Arial"/>
          <w:sz w:val="24"/>
          <w:szCs w:val="24"/>
        </w:rPr>
        <w:t>.</w:t>
      </w:r>
      <w:r w:rsidR="00304A16">
        <w:rPr>
          <w:rStyle w:val="Referencafusnote"/>
          <w:rFonts w:ascii="Arial" w:hAnsi="Arial" w:cs="Arial"/>
          <w:sz w:val="24"/>
          <w:szCs w:val="24"/>
        </w:rPr>
        <w:footnoteReference w:id="239"/>
      </w:r>
    </w:p>
    <w:p w:rsidR="00023037" w:rsidRPr="00876B8C" w:rsidRDefault="00237BAD" w:rsidP="00714A7E">
      <w:pPr>
        <w:autoSpaceDE w:val="0"/>
        <w:autoSpaceDN w:val="0"/>
        <w:adjustRightInd w:val="0"/>
        <w:spacing w:before="120" w:after="120" w:line="240" w:lineRule="auto"/>
        <w:ind w:firstLine="708"/>
        <w:jc w:val="both"/>
        <w:rPr>
          <w:rFonts w:ascii="Arial" w:hAnsi="Arial" w:cs="Arial"/>
          <w:sz w:val="24"/>
          <w:szCs w:val="24"/>
        </w:rPr>
      </w:pPr>
      <w:r w:rsidRPr="00876B8C">
        <w:rPr>
          <w:rFonts w:ascii="Arial" w:hAnsi="Arial" w:cs="Arial"/>
          <w:sz w:val="24"/>
          <w:szCs w:val="24"/>
        </w:rPr>
        <w:t xml:space="preserve">Učinak </w:t>
      </w:r>
      <w:proofErr w:type="spellStart"/>
      <w:r w:rsidRPr="00876B8C">
        <w:rPr>
          <w:rFonts w:ascii="Arial" w:hAnsi="Arial" w:cs="Arial"/>
          <w:sz w:val="24"/>
          <w:szCs w:val="24"/>
        </w:rPr>
        <w:t>predstečajnog</w:t>
      </w:r>
      <w:proofErr w:type="spellEnd"/>
      <w:r w:rsidRPr="00876B8C">
        <w:rPr>
          <w:rFonts w:ascii="Arial" w:hAnsi="Arial" w:cs="Arial"/>
          <w:sz w:val="24"/>
          <w:szCs w:val="24"/>
        </w:rPr>
        <w:t xml:space="preserve"> sporazuma na vjerovnike koji nisu sudjelovali u </w:t>
      </w:r>
      <w:proofErr w:type="spellStart"/>
      <w:r w:rsidRPr="00876B8C">
        <w:rPr>
          <w:rFonts w:ascii="Arial" w:hAnsi="Arial" w:cs="Arial"/>
          <w:sz w:val="24"/>
          <w:szCs w:val="24"/>
        </w:rPr>
        <w:t>predstečajnom</w:t>
      </w:r>
      <w:proofErr w:type="spellEnd"/>
      <w:r w:rsidRPr="00876B8C">
        <w:rPr>
          <w:rFonts w:ascii="Arial" w:hAnsi="Arial" w:cs="Arial"/>
          <w:sz w:val="24"/>
          <w:szCs w:val="24"/>
        </w:rPr>
        <w:t xml:space="preserve"> postupku ogleda se u postupanju FINA-e o</w:t>
      </w:r>
      <w:r w:rsidRPr="00876B8C">
        <w:rPr>
          <w:rFonts w:ascii="Arial" w:hAnsi="Arial" w:cs="Arial"/>
          <w:sz w:val="24"/>
          <w:szCs w:val="24"/>
          <w:lang w:val="x-none"/>
        </w:rPr>
        <w:t xml:space="preserve">d dana primitka pravomoćnoga rješenja kojim se potvrđuje </w:t>
      </w:r>
      <w:proofErr w:type="spellStart"/>
      <w:r w:rsidRPr="00876B8C">
        <w:rPr>
          <w:rFonts w:ascii="Arial" w:hAnsi="Arial" w:cs="Arial"/>
          <w:sz w:val="24"/>
          <w:szCs w:val="24"/>
          <w:lang w:val="x-none"/>
        </w:rPr>
        <w:t>predstečajni</w:t>
      </w:r>
      <w:proofErr w:type="spellEnd"/>
      <w:r w:rsidRPr="00876B8C">
        <w:rPr>
          <w:rFonts w:ascii="Arial" w:hAnsi="Arial" w:cs="Arial"/>
          <w:sz w:val="24"/>
          <w:szCs w:val="24"/>
          <w:lang w:val="x-none"/>
        </w:rPr>
        <w:t xml:space="preserve"> sporazum</w:t>
      </w:r>
      <w:r w:rsidRPr="00876B8C">
        <w:rPr>
          <w:rFonts w:ascii="Arial" w:hAnsi="Arial" w:cs="Arial"/>
          <w:sz w:val="24"/>
          <w:szCs w:val="24"/>
        </w:rPr>
        <w:t>. FINA</w:t>
      </w:r>
      <w:r w:rsidRPr="00876B8C">
        <w:rPr>
          <w:rFonts w:ascii="Arial" w:hAnsi="Arial" w:cs="Arial"/>
          <w:sz w:val="24"/>
          <w:szCs w:val="24"/>
          <w:lang w:val="x-none"/>
        </w:rPr>
        <w:t xml:space="preserve"> neće nastaviti s provedbom ovrhe na novčanim sredstvima po računu dužnika na temelju osnova za plaćanje koje je prestala izvršavati od primitka rješenja o otvaranju </w:t>
      </w:r>
      <w:proofErr w:type="spellStart"/>
      <w:r w:rsidRPr="00876B8C">
        <w:rPr>
          <w:rFonts w:ascii="Arial" w:hAnsi="Arial" w:cs="Arial"/>
          <w:sz w:val="24"/>
          <w:szCs w:val="24"/>
          <w:lang w:val="x-none"/>
        </w:rPr>
        <w:t>predstečajnog</w:t>
      </w:r>
      <w:proofErr w:type="spellEnd"/>
      <w:r w:rsidRPr="00876B8C">
        <w:rPr>
          <w:rFonts w:ascii="Arial" w:hAnsi="Arial" w:cs="Arial"/>
          <w:sz w:val="24"/>
          <w:szCs w:val="24"/>
          <w:lang w:val="x-none"/>
        </w:rPr>
        <w:t xml:space="preserve"> postupka, a eventualno zaplijenjena sredstva po tim osnovama za plaćanje oslobodit će i omogućiti dužniku raspolaganje istima.</w:t>
      </w:r>
      <w:r w:rsidR="00876B8C">
        <w:rPr>
          <w:rStyle w:val="Referencafusnote"/>
          <w:rFonts w:ascii="Arial" w:hAnsi="Arial" w:cs="Arial"/>
          <w:sz w:val="24"/>
          <w:szCs w:val="24"/>
          <w:lang w:val="x-none"/>
        </w:rPr>
        <w:footnoteReference w:id="240"/>
      </w:r>
      <w:r w:rsidR="00023037" w:rsidRPr="00876B8C">
        <w:rPr>
          <w:rFonts w:ascii="Arial" w:hAnsi="Arial" w:cs="Arial"/>
          <w:sz w:val="24"/>
          <w:szCs w:val="24"/>
        </w:rPr>
        <w:t xml:space="preserve"> </w:t>
      </w:r>
    </w:p>
    <w:p w:rsidR="00023037" w:rsidRPr="00876B8C" w:rsidRDefault="00023037" w:rsidP="00714A7E">
      <w:pPr>
        <w:autoSpaceDE w:val="0"/>
        <w:autoSpaceDN w:val="0"/>
        <w:adjustRightInd w:val="0"/>
        <w:spacing w:before="120" w:after="120" w:line="240" w:lineRule="auto"/>
        <w:ind w:firstLine="708"/>
        <w:jc w:val="both"/>
        <w:rPr>
          <w:rFonts w:ascii="Arial" w:hAnsi="Arial" w:cs="Arial"/>
          <w:sz w:val="24"/>
          <w:szCs w:val="24"/>
        </w:rPr>
      </w:pPr>
      <w:r w:rsidRPr="00876B8C">
        <w:rPr>
          <w:rFonts w:ascii="Arial" w:hAnsi="Arial" w:cs="Arial"/>
          <w:sz w:val="24"/>
          <w:szCs w:val="24"/>
        </w:rPr>
        <w:t>O</w:t>
      </w:r>
      <w:proofErr w:type="spellStart"/>
      <w:r w:rsidR="00237BAD" w:rsidRPr="00876B8C">
        <w:rPr>
          <w:rFonts w:ascii="Arial" w:hAnsi="Arial" w:cs="Arial"/>
          <w:sz w:val="24"/>
          <w:szCs w:val="24"/>
          <w:lang w:val="x-none"/>
        </w:rPr>
        <w:t>snovu</w:t>
      </w:r>
      <w:proofErr w:type="spellEnd"/>
      <w:r w:rsidR="00237BAD" w:rsidRPr="00876B8C">
        <w:rPr>
          <w:rFonts w:ascii="Arial" w:hAnsi="Arial" w:cs="Arial"/>
          <w:sz w:val="24"/>
          <w:szCs w:val="24"/>
          <w:lang w:val="x-none"/>
        </w:rPr>
        <w:t xml:space="preserve"> za plaćanje donesenu odnosno izdanu prije otvaranja </w:t>
      </w:r>
      <w:proofErr w:type="spellStart"/>
      <w:r w:rsidR="00237BAD" w:rsidRPr="00876B8C">
        <w:rPr>
          <w:rFonts w:ascii="Arial" w:hAnsi="Arial" w:cs="Arial"/>
          <w:sz w:val="24"/>
          <w:szCs w:val="24"/>
          <w:lang w:val="x-none"/>
        </w:rPr>
        <w:t>predstečajnog</w:t>
      </w:r>
      <w:proofErr w:type="spellEnd"/>
      <w:r w:rsidR="00237BAD" w:rsidRPr="00876B8C">
        <w:rPr>
          <w:rFonts w:ascii="Arial" w:hAnsi="Arial" w:cs="Arial"/>
          <w:sz w:val="24"/>
          <w:szCs w:val="24"/>
          <w:lang w:val="x-none"/>
        </w:rPr>
        <w:t xml:space="preserve"> postupka, a primljenu nakon potvrde </w:t>
      </w:r>
      <w:proofErr w:type="spellStart"/>
      <w:r w:rsidR="00237BAD" w:rsidRPr="00876B8C">
        <w:rPr>
          <w:rFonts w:ascii="Arial" w:hAnsi="Arial" w:cs="Arial"/>
          <w:sz w:val="24"/>
          <w:szCs w:val="24"/>
          <w:lang w:val="x-none"/>
        </w:rPr>
        <w:t>predstečajnog</w:t>
      </w:r>
      <w:proofErr w:type="spellEnd"/>
      <w:r w:rsidR="00237BAD" w:rsidRPr="00876B8C">
        <w:rPr>
          <w:rFonts w:ascii="Arial" w:hAnsi="Arial" w:cs="Arial"/>
          <w:sz w:val="24"/>
          <w:szCs w:val="24"/>
          <w:lang w:val="x-none"/>
        </w:rPr>
        <w:t xml:space="preserve"> sporazuma, F</w:t>
      </w:r>
      <w:r w:rsidR="00237BAD" w:rsidRPr="00876B8C">
        <w:rPr>
          <w:rFonts w:ascii="Arial" w:hAnsi="Arial" w:cs="Arial"/>
          <w:sz w:val="24"/>
          <w:szCs w:val="24"/>
        </w:rPr>
        <w:t>INA</w:t>
      </w:r>
      <w:r w:rsidR="00237BAD" w:rsidRPr="00876B8C">
        <w:rPr>
          <w:rFonts w:ascii="Arial" w:hAnsi="Arial" w:cs="Arial"/>
          <w:sz w:val="24"/>
          <w:szCs w:val="24"/>
          <w:lang w:val="x-none"/>
        </w:rPr>
        <w:t xml:space="preserve"> neće evidentirati u Očevidniku redoslijeda osnova za plaćanje, nego će je vratiti podnositelju uz obrazloženje</w:t>
      </w:r>
      <w:r w:rsidR="00237BAD" w:rsidRPr="00876B8C">
        <w:rPr>
          <w:rFonts w:ascii="Arial" w:hAnsi="Arial" w:cs="Arial"/>
          <w:sz w:val="24"/>
          <w:szCs w:val="24"/>
        </w:rPr>
        <w:t>.</w:t>
      </w:r>
      <w:r w:rsidR="00903734">
        <w:rPr>
          <w:rStyle w:val="Referencafusnote"/>
          <w:rFonts w:ascii="Arial" w:hAnsi="Arial" w:cs="Arial"/>
          <w:sz w:val="24"/>
          <w:szCs w:val="24"/>
        </w:rPr>
        <w:footnoteReference w:id="241"/>
      </w:r>
      <w:r w:rsidR="00237BAD" w:rsidRPr="00876B8C">
        <w:rPr>
          <w:rFonts w:ascii="Arial" w:hAnsi="Arial" w:cs="Arial"/>
          <w:sz w:val="24"/>
          <w:szCs w:val="24"/>
        </w:rPr>
        <w:t xml:space="preserve"> </w:t>
      </w:r>
    </w:p>
    <w:p w:rsidR="00714A7E" w:rsidRPr="00876B8C" w:rsidRDefault="00714A7E" w:rsidP="00714A7E">
      <w:pPr>
        <w:autoSpaceDE w:val="0"/>
        <w:autoSpaceDN w:val="0"/>
        <w:adjustRightInd w:val="0"/>
        <w:spacing w:before="120" w:after="120" w:line="240" w:lineRule="auto"/>
        <w:ind w:firstLine="708"/>
        <w:jc w:val="both"/>
        <w:rPr>
          <w:rFonts w:ascii="Arial" w:hAnsi="Arial" w:cs="Arial"/>
          <w:sz w:val="24"/>
          <w:szCs w:val="24"/>
        </w:rPr>
      </w:pPr>
      <w:r w:rsidRPr="00876B8C">
        <w:rPr>
          <w:rFonts w:ascii="Arial" w:hAnsi="Arial" w:cs="Arial"/>
          <w:sz w:val="24"/>
          <w:szCs w:val="24"/>
          <w:lang w:val="x-none"/>
        </w:rPr>
        <w:t xml:space="preserve">Osnovu za plaćanje donesenu odnosno izdanu nakon otvaranja </w:t>
      </w:r>
      <w:proofErr w:type="spellStart"/>
      <w:r w:rsidRPr="00876B8C">
        <w:rPr>
          <w:rFonts w:ascii="Arial" w:hAnsi="Arial" w:cs="Arial"/>
          <w:sz w:val="24"/>
          <w:szCs w:val="24"/>
          <w:lang w:val="x-none"/>
        </w:rPr>
        <w:t>predstečajnoga</w:t>
      </w:r>
      <w:proofErr w:type="spellEnd"/>
      <w:r w:rsidRPr="00876B8C">
        <w:rPr>
          <w:rFonts w:ascii="Arial" w:hAnsi="Arial" w:cs="Arial"/>
          <w:sz w:val="24"/>
          <w:szCs w:val="24"/>
          <w:lang w:val="x-none"/>
        </w:rPr>
        <w:t xml:space="preserve"> postupka, a primljenu nakon potvrde </w:t>
      </w:r>
      <w:proofErr w:type="spellStart"/>
      <w:r w:rsidRPr="00876B8C">
        <w:rPr>
          <w:rFonts w:ascii="Arial" w:hAnsi="Arial" w:cs="Arial"/>
          <w:sz w:val="24"/>
          <w:szCs w:val="24"/>
          <w:lang w:val="x-none"/>
        </w:rPr>
        <w:t>predstečajnog</w:t>
      </w:r>
      <w:proofErr w:type="spellEnd"/>
      <w:r w:rsidRPr="00876B8C">
        <w:rPr>
          <w:rFonts w:ascii="Arial" w:hAnsi="Arial" w:cs="Arial"/>
          <w:sz w:val="24"/>
          <w:szCs w:val="24"/>
          <w:lang w:val="x-none"/>
        </w:rPr>
        <w:t xml:space="preserve"> sporazuma, F</w:t>
      </w:r>
      <w:r w:rsidRPr="00876B8C">
        <w:rPr>
          <w:rFonts w:ascii="Arial" w:hAnsi="Arial" w:cs="Arial"/>
          <w:sz w:val="24"/>
          <w:szCs w:val="24"/>
        </w:rPr>
        <w:t>INA</w:t>
      </w:r>
      <w:r w:rsidRPr="00876B8C">
        <w:rPr>
          <w:rFonts w:ascii="Arial" w:hAnsi="Arial" w:cs="Arial"/>
          <w:sz w:val="24"/>
          <w:szCs w:val="24"/>
          <w:lang w:val="x-none"/>
        </w:rPr>
        <w:t xml:space="preserve"> će evidentirati u Očevidniku redoslijeda osnova za plaćanje sukladno zakonu kojim se uređuje provedba ovrhe na novčanim sredstvima.</w:t>
      </w:r>
      <w:r w:rsidR="00903734">
        <w:rPr>
          <w:rStyle w:val="Referencafusnote"/>
          <w:rFonts w:ascii="Arial" w:hAnsi="Arial" w:cs="Arial"/>
          <w:sz w:val="24"/>
          <w:szCs w:val="24"/>
          <w:lang w:val="x-none"/>
        </w:rPr>
        <w:footnoteReference w:id="242"/>
      </w:r>
      <w:r w:rsidRPr="00876B8C">
        <w:rPr>
          <w:rFonts w:ascii="Arial" w:hAnsi="Arial" w:cs="Arial"/>
          <w:sz w:val="24"/>
          <w:szCs w:val="24"/>
          <w:lang w:val="x-none"/>
        </w:rPr>
        <w:t xml:space="preserve"> Ako se na temelju osnove za plaćanje naplati tražbina vjerovnika koja je nastala prije otvaranja </w:t>
      </w:r>
      <w:proofErr w:type="spellStart"/>
      <w:r w:rsidRPr="00876B8C">
        <w:rPr>
          <w:rFonts w:ascii="Arial" w:hAnsi="Arial" w:cs="Arial"/>
          <w:sz w:val="24"/>
          <w:szCs w:val="24"/>
          <w:lang w:val="x-none"/>
        </w:rPr>
        <w:t>predstečajnog</w:t>
      </w:r>
      <w:proofErr w:type="spellEnd"/>
      <w:r w:rsidRPr="00876B8C">
        <w:rPr>
          <w:rFonts w:ascii="Arial" w:hAnsi="Arial" w:cs="Arial"/>
          <w:sz w:val="24"/>
          <w:szCs w:val="24"/>
          <w:lang w:val="x-none"/>
        </w:rPr>
        <w:t xml:space="preserve"> postupka i na koju </w:t>
      </w:r>
      <w:proofErr w:type="spellStart"/>
      <w:r w:rsidRPr="00876B8C">
        <w:rPr>
          <w:rFonts w:ascii="Arial" w:hAnsi="Arial" w:cs="Arial"/>
          <w:sz w:val="24"/>
          <w:szCs w:val="24"/>
          <w:lang w:val="x-none"/>
        </w:rPr>
        <w:t>predstečajni</w:t>
      </w:r>
      <w:proofErr w:type="spellEnd"/>
      <w:r w:rsidRPr="00876B8C">
        <w:rPr>
          <w:rFonts w:ascii="Arial" w:hAnsi="Arial" w:cs="Arial"/>
          <w:sz w:val="24"/>
          <w:szCs w:val="24"/>
          <w:lang w:val="x-none"/>
        </w:rPr>
        <w:t xml:space="preserve"> postupak utječe, dužnik može tražiti proglašenje ovrhe nedopuštenom i povrat prenesenih novčanih sredstava u posebnoj parnici</w:t>
      </w:r>
      <w:r w:rsidRPr="00876B8C">
        <w:rPr>
          <w:rFonts w:ascii="Arial" w:hAnsi="Arial" w:cs="Arial"/>
          <w:sz w:val="24"/>
          <w:szCs w:val="24"/>
        </w:rPr>
        <w:t>.</w:t>
      </w:r>
      <w:r w:rsidR="00903734">
        <w:rPr>
          <w:rStyle w:val="Referencafusnote"/>
          <w:rFonts w:ascii="Arial" w:hAnsi="Arial" w:cs="Arial"/>
          <w:sz w:val="24"/>
          <w:szCs w:val="24"/>
        </w:rPr>
        <w:footnoteReference w:id="243"/>
      </w:r>
    </w:p>
    <w:p w:rsidR="00697A51" w:rsidRPr="00D64874" w:rsidRDefault="000505FC" w:rsidP="00697A51">
      <w:pPr>
        <w:autoSpaceDE w:val="0"/>
        <w:autoSpaceDN w:val="0"/>
        <w:adjustRightInd w:val="0"/>
        <w:spacing w:before="120" w:after="120" w:line="240" w:lineRule="auto"/>
        <w:jc w:val="both"/>
        <w:rPr>
          <w:rFonts w:ascii="Arial" w:hAnsi="Arial" w:cs="Arial"/>
          <w:sz w:val="24"/>
          <w:szCs w:val="24"/>
          <w:lang w:val="x-none"/>
        </w:rPr>
      </w:pPr>
      <w:r>
        <w:rPr>
          <w:rFonts w:ascii="Times New Roman" w:hAnsi="Times New Roman" w:cs="Times New Roman"/>
          <w:sz w:val="24"/>
          <w:szCs w:val="24"/>
        </w:rPr>
        <w:tab/>
      </w:r>
      <w:r w:rsidR="00697A51" w:rsidRPr="00D64874">
        <w:rPr>
          <w:rFonts w:ascii="Arial" w:hAnsi="Arial" w:cs="Arial"/>
          <w:sz w:val="24"/>
          <w:szCs w:val="24"/>
          <w:lang w:val="x-none"/>
        </w:rPr>
        <w:t xml:space="preserve">Dužnik kojem su na temelju potvrđenoga </w:t>
      </w:r>
      <w:proofErr w:type="spellStart"/>
      <w:r w:rsidR="00697A51" w:rsidRPr="00D64874">
        <w:rPr>
          <w:rFonts w:ascii="Arial" w:hAnsi="Arial" w:cs="Arial"/>
          <w:sz w:val="24"/>
          <w:szCs w:val="24"/>
          <w:lang w:val="x-none"/>
        </w:rPr>
        <w:t>predstečajnog</w:t>
      </w:r>
      <w:r w:rsidR="007F0334" w:rsidRPr="00D64874">
        <w:rPr>
          <w:rFonts w:ascii="Arial" w:hAnsi="Arial" w:cs="Arial"/>
          <w:sz w:val="24"/>
          <w:szCs w:val="24"/>
        </w:rPr>
        <w:t>a</w:t>
      </w:r>
      <w:proofErr w:type="spellEnd"/>
      <w:r w:rsidR="00697A51" w:rsidRPr="00D64874">
        <w:rPr>
          <w:rFonts w:ascii="Arial" w:hAnsi="Arial" w:cs="Arial"/>
          <w:sz w:val="24"/>
          <w:szCs w:val="24"/>
          <w:lang w:val="x-none"/>
        </w:rPr>
        <w:t xml:space="preserve"> sporazuma otpisane obveze po osnovi kojih je ostvario dobit, dužan je tako nastalu dobit zadržati do isteka roka za ispunjenje svih obveza koje proizlaze iz </w:t>
      </w:r>
      <w:proofErr w:type="spellStart"/>
      <w:r w:rsidR="00697A51" w:rsidRPr="00D64874">
        <w:rPr>
          <w:rFonts w:ascii="Arial" w:hAnsi="Arial" w:cs="Arial"/>
          <w:sz w:val="24"/>
          <w:szCs w:val="24"/>
          <w:lang w:val="x-none"/>
        </w:rPr>
        <w:t>predstečajnoga</w:t>
      </w:r>
      <w:proofErr w:type="spellEnd"/>
      <w:r w:rsidR="00697A51" w:rsidRPr="00D64874">
        <w:rPr>
          <w:rFonts w:ascii="Arial" w:hAnsi="Arial" w:cs="Arial"/>
          <w:sz w:val="24"/>
          <w:szCs w:val="24"/>
          <w:lang w:val="x-none"/>
        </w:rPr>
        <w:t xml:space="preserve"> sporazuma.</w:t>
      </w:r>
      <w:r w:rsidR="00876B8C">
        <w:rPr>
          <w:rStyle w:val="Referencafusnote"/>
          <w:rFonts w:ascii="Arial" w:hAnsi="Arial" w:cs="Arial"/>
          <w:sz w:val="24"/>
          <w:szCs w:val="24"/>
          <w:lang w:val="x-none"/>
        </w:rPr>
        <w:footnoteReference w:id="244"/>
      </w:r>
    </w:p>
    <w:p w:rsidR="00697A51" w:rsidRPr="00876B8C" w:rsidRDefault="000505FC" w:rsidP="00697A51">
      <w:pPr>
        <w:autoSpaceDE w:val="0"/>
        <w:autoSpaceDN w:val="0"/>
        <w:adjustRightInd w:val="0"/>
        <w:spacing w:before="120" w:after="120" w:line="240" w:lineRule="auto"/>
        <w:jc w:val="both"/>
        <w:rPr>
          <w:rFonts w:ascii="Arial" w:hAnsi="Arial" w:cs="Arial"/>
          <w:sz w:val="24"/>
          <w:szCs w:val="24"/>
          <w:lang w:val="x-none"/>
        </w:rPr>
      </w:pPr>
      <w:r>
        <w:rPr>
          <w:rFonts w:ascii="Times New Roman" w:hAnsi="Times New Roman" w:cs="Times New Roman"/>
          <w:sz w:val="24"/>
          <w:szCs w:val="24"/>
        </w:rPr>
        <w:tab/>
      </w:r>
      <w:r w:rsidR="00697A51" w:rsidRPr="00876B8C">
        <w:rPr>
          <w:rFonts w:ascii="Arial" w:hAnsi="Arial" w:cs="Arial"/>
          <w:sz w:val="24"/>
          <w:szCs w:val="24"/>
          <w:lang w:val="x-none"/>
        </w:rPr>
        <w:t xml:space="preserve">Vjerovniku koji u skladu s potvrđenim </w:t>
      </w:r>
      <w:proofErr w:type="spellStart"/>
      <w:r w:rsidR="00697A51" w:rsidRPr="00876B8C">
        <w:rPr>
          <w:rFonts w:ascii="Arial" w:hAnsi="Arial" w:cs="Arial"/>
          <w:sz w:val="24"/>
          <w:szCs w:val="24"/>
          <w:lang w:val="x-none"/>
        </w:rPr>
        <w:t>predstečajnim</w:t>
      </w:r>
      <w:proofErr w:type="spellEnd"/>
      <w:r w:rsidR="00697A51" w:rsidRPr="00876B8C">
        <w:rPr>
          <w:rFonts w:ascii="Arial" w:hAnsi="Arial" w:cs="Arial"/>
          <w:sz w:val="24"/>
          <w:szCs w:val="24"/>
          <w:lang w:val="x-none"/>
        </w:rPr>
        <w:t xml:space="preserve"> sporazumom otpisuje tražbinu od dužnika iznos otpisane tražbine utvrđuje se kao porezno priznati rashod.</w:t>
      </w:r>
      <w:r w:rsidR="00876B8C">
        <w:rPr>
          <w:rStyle w:val="Referencafusnote"/>
          <w:rFonts w:ascii="Arial" w:hAnsi="Arial" w:cs="Arial"/>
          <w:sz w:val="24"/>
          <w:szCs w:val="24"/>
          <w:lang w:val="x-none"/>
        </w:rPr>
        <w:footnoteReference w:id="245"/>
      </w:r>
    </w:p>
    <w:p w:rsidR="00DA4B09" w:rsidRPr="00903734" w:rsidRDefault="000505FC" w:rsidP="00DA4B09">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697A51" w:rsidRPr="00903734">
        <w:rPr>
          <w:rFonts w:ascii="Arial" w:hAnsi="Arial" w:cs="Arial"/>
          <w:sz w:val="24"/>
          <w:szCs w:val="24"/>
          <w:lang w:val="x-none"/>
        </w:rPr>
        <w:t xml:space="preserve">Odredbe </w:t>
      </w:r>
      <w:r w:rsidRPr="00903734">
        <w:rPr>
          <w:rFonts w:ascii="Arial" w:hAnsi="Arial" w:cs="Arial"/>
          <w:sz w:val="24"/>
          <w:szCs w:val="24"/>
        </w:rPr>
        <w:t>SZ-a</w:t>
      </w:r>
      <w:r w:rsidR="00697A51" w:rsidRPr="00903734">
        <w:rPr>
          <w:rFonts w:ascii="Arial" w:hAnsi="Arial" w:cs="Arial"/>
          <w:sz w:val="24"/>
          <w:szCs w:val="24"/>
          <w:lang w:val="x-none"/>
        </w:rPr>
        <w:t xml:space="preserve"> o učincima potvrđenoga stečajnog plana i nadzoru nad njegovim ispunjenjem </w:t>
      </w:r>
      <w:r w:rsidR="00903734">
        <w:rPr>
          <w:rFonts w:ascii="Arial" w:hAnsi="Arial" w:cs="Arial"/>
          <w:sz w:val="24"/>
          <w:szCs w:val="24"/>
        </w:rPr>
        <w:t xml:space="preserve">(Glava VII. Stečajnog zakona) </w:t>
      </w:r>
      <w:r w:rsidR="00697A51" w:rsidRPr="00903734">
        <w:rPr>
          <w:rFonts w:ascii="Arial" w:hAnsi="Arial" w:cs="Arial"/>
          <w:sz w:val="24"/>
          <w:szCs w:val="24"/>
          <w:lang w:val="x-none"/>
        </w:rPr>
        <w:t>primjenjuju se na odgovarajući način na p</w:t>
      </w:r>
      <w:r w:rsidR="006674D6" w:rsidRPr="00903734">
        <w:rPr>
          <w:rFonts w:ascii="Arial" w:hAnsi="Arial" w:cs="Arial"/>
          <w:sz w:val="24"/>
          <w:szCs w:val="24"/>
          <w:lang w:val="x-none"/>
        </w:rPr>
        <w:t xml:space="preserve">otvrđeni </w:t>
      </w:r>
      <w:proofErr w:type="spellStart"/>
      <w:r w:rsidR="006674D6" w:rsidRPr="00903734">
        <w:rPr>
          <w:rFonts w:ascii="Arial" w:hAnsi="Arial" w:cs="Arial"/>
          <w:sz w:val="24"/>
          <w:szCs w:val="24"/>
          <w:lang w:val="x-none"/>
        </w:rPr>
        <w:t>predstečajni</w:t>
      </w:r>
      <w:proofErr w:type="spellEnd"/>
      <w:r w:rsidR="006674D6" w:rsidRPr="00903734">
        <w:rPr>
          <w:rFonts w:ascii="Arial" w:hAnsi="Arial" w:cs="Arial"/>
          <w:sz w:val="24"/>
          <w:szCs w:val="24"/>
          <w:lang w:val="x-none"/>
        </w:rPr>
        <w:t xml:space="preserve"> sporazum.</w:t>
      </w:r>
      <w:r w:rsidR="00903734">
        <w:rPr>
          <w:rStyle w:val="Referencafusnote"/>
          <w:rFonts w:ascii="Arial" w:hAnsi="Arial" w:cs="Arial"/>
          <w:sz w:val="24"/>
          <w:szCs w:val="24"/>
          <w:lang w:val="x-none"/>
        </w:rPr>
        <w:footnoteReference w:id="246"/>
      </w:r>
      <w:r w:rsidR="00847609" w:rsidRPr="00903734">
        <w:rPr>
          <w:rFonts w:ascii="Times New Roman" w:hAnsi="Times New Roman" w:cs="Times New Roman"/>
          <w:sz w:val="24"/>
          <w:szCs w:val="24"/>
        </w:rPr>
        <w:t xml:space="preserve"> </w:t>
      </w:r>
    </w:p>
    <w:p w:rsidR="003F531E" w:rsidRPr="00903734" w:rsidRDefault="00DA4B09" w:rsidP="003F531E">
      <w:pPr>
        <w:autoSpaceDE w:val="0"/>
        <w:autoSpaceDN w:val="0"/>
        <w:adjustRightInd w:val="0"/>
        <w:spacing w:before="120" w:after="120" w:line="240" w:lineRule="auto"/>
        <w:jc w:val="both"/>
        <w:rPr>
          <w:rFonts w:ascii="Arial" w:hAnsi="Arial" w:cs="Arial"/>
          <w:sz w:val="24"/>
          <w:szCs w:val="24"/>
          <w:lang w:val="x-none"/>
        </w:rPr>
      </w:pPr>
      <w:r>
        <w:rPr>
          <w:rFonts w:ascii="Times New Roman" w:hAnsi="Times New Roman" w:cs="Times New Roman"/>
          <w:sz w:val="24"/>
          <w:szCs w:val="24"/>
        </w:rPr>
        <w:tab/>
      </w:r>
      <w:r w:rsidRPr="00903734">
        <w:rPr>
          <w:rFonts w:ascii="Arial" w:hAnsi="Arial" w:cs="Arial"/>
          <w:sz w:val="24"/>
          <w:szCs w:val="24"/>
          <w:lang w:val="x-none"/>
        </w:rPr>
        <w:t xml:space="preserve">Rješenje o potvrdi </w:t>
      </w:r>
      <w:proofErr w:type="spellStart"/>
      <w:r w:rsidRPr="00903734">
        <w:rPr>
          <w:rFonts w:ascii="Arial" w:hAnsi="Arial" w:cs="Arial"/>
          <w:sz w:val="24"/>
          <w:szCs w:val="24"/>
        </w:rPr>
        <w:t>predstečajnoga</w:t>
      </w:r>
      <w:proofErr w:type="spellEnd"/>
      <w:r w:rsidRPr="00903734">
        <w:rPr>
          <w:rFonts w:ascii="Arial" w:hAnsi="Arial" w:cs="Arial"/>
          <w:sz w:val="24"/>
          <w:szCs w:val="24"/>
        </w:rPr>
        <w:t xml:space="preserve"> sporazuma </w:t>
      </w:r>
      <w:r w:rsidRPr="00903734">
        <w:rPr>
          <w:rFonts w:ascii="Arial" w:hAnsi="Arial" w:cs="Arial"/>
          <w:sz w:val="24"/>
          <w:szCs w:val="24"/>
          <w:lang w:val="x-none"/>
        </w:rPr>
        <w:t xml:space="preserve">djeluje prema svim sudionicima od svoje pravomoćnosti. </w:t>
      </w:r>
      <w:r w:rsidR="003F531E" w:rsidRPr="00903734">
        <w:rPr>
          <w:rFonts w:ascii="Arial" w:hAnsi="Arial" w:cs="Arial"/>
          <w:sz w:val="24"/>
          <w:szCs w:val="24"/>
          <w:lang w:val="x-none"/>
        </w:rPr>
        <w:t xml:space="preserve">Ako je na temelju rješenja o potvrdi </w:t>
      </w:r>
      <w:proofErr w:type="spellStart"/>
      <w:r w:rsidR="003F531E" w:rsidRPr="00903734">
        <w:rPr>
          <w:rFonts w:ascii="Arial" w:hAnsi="Arial" w:cs="Arial"/>
          <w:sz w:val="24"/>
          <w:szCs w:val="24"/>
        </w:rPr>
        <w:t>predstečajnoga</w:t>
      </w:r>
      <w:proofErr w:type="spellEnd"/>
      <w:r w:rsidR="003F531E" w:rsidRPr="00903734">
        <w:rPr>
          <w:rFonts w:ascii="Arial" w:hAnsi="Arial" w:cs="Arial"/>
          <w:sz w:val="24"/>
          <w:szCs w:val="24"/>
        </w:rPr>
        <w:t xml:space="preserve"> sporazuma </w:t>
      </w:r>
      <w:r w:rsidR="003F531E" w:rsidRPr="00903734">
        <w:rPr>
          <w:rFonts w:ascii="Arial" w:hAnsi="Arial" w:cs="Arial"/>
          <w:sz w:val="24"/>
          <w:szCs w:val="24"/>
          <w:lang w:val="x-none"/>
        </w:rPr>
        <w:t>namirenje tražbina vjerovnika odgođeno ili je dužnik djelomično oslobođen obveze namirenja, odgoda odnosno oslobođenje prestaje vrijediti u odnosu na onoga vjerovnika prema kojem je dužnik znatno zaka</w:t>
      </w:r>
      <w:r w:rsidR="00023037" w:rsidRPr="00903734">
        <w:rPr>
          <w:rFonts w:ascii="Arial" w:hAnsi="Arial" w:cs="Arial"/>
          <w:sz w:val="24"/>
          <w:szCs w:val="24"/>
          <w:lang w:val="x-none"/>
        </w:rPr>
        <w:t>snio s ispunjenjem prihvaćenog</w:t>
      </w:r>
      <w:r w:rsidR="00023037" w:rsidRPr="00903734">
        <w:rPr>
          <w:rFonts w:ascii="Arial" w:hAnsi="Arial" w:cs="Arial"/>
          <w:sz w:val="24"/>
          <w:szCs w:val="24"/>
        </w:rPr>
        <w:t>a</w:t>
      </w:r>
      <w:r w:rsidR="003F531E" w:rsidRPr="00903734">
        <w:rPr>
          <w:rFonts w:ascii="Arial" w:hAnsi="Arial" w:cs="Arial"/>
          <w:sz w:val="24"/>
          <w:szCs w:val="24"/>
          <w:lang w:val="x-none"/>
        </w:rPr>
        <w:t xml:space="preserve"> </w:t>
      </w:r>
      <w:proofErr w:type="spellStart"/>
      <w:r w:rsidR="003F531E" w:rsidRPr="00903734">
        <w:rPr>
          <w:rFonts w:ascii="Arial" w:hAnsi="Arial" w:cs="Arial"/>
          <w:sz w:val="24"/>
          <w:szCs w:val="24"/>
        </w:rPr>
        <w:t>predstečajnog</w:t>
      </w:r>
      <w:proofErr w:type="spellEnd"/>
      <w:r w:rsidR="003F531E" w:rsidRPr="00903734">
        <w:rPr>
          <w:rFonts w:ascii="Arial" w:hAnsi="Arial" w:cs="Arial"/>
          <w:sz w:val="24"/>
          <w:szCs w:val="24"/>
        </w:rPr>
        <w:t xml:space="preserve"> sporazuma</w:t>
      </w:r>
      <w:r w:rsidR="00DA628C" w:rsidRPr="00903734">
        <w:rPr>
          <w:rFonts w:ascii="Arial" w:hAnsi="Arial" w:cs="Arial"/>
          <w:sz w:val="24"/>
          <w:szCs w:val="24"/>
        </w:rPr>
        <w:t>.</w:t>
      </w:r>
      <w:r w:rsidR="003F531E" w:rsidRPr="00903734">
        <w:rPr>
          <w:rFonts w:ascii="Arial" w:hAnsi="Arial" w:cs="Arial"/>
          <w:sz w:val="24"/>
          <w:szCs w:val="24"/>
        </w:rPr>
        <w:t xml:space="preserve"> </w:t>
      </w:r>
      <w:r w:rsidR="003F531E" w:rsidRPr="00903734">
        <w:rPr>
          <w:rFonts w:ascii="Arial" w:hAnsi="Arial" w:cs="Arial"/>
          <w:sz w:val="24"/>
          <w:szCs w:val="24"/>
          <w:lang w:val="x-none"/>
        </w:rPr>
        <w:t xml:space="preserve">Smatrat će se da je dužnik znatno zakasnio s ispunjenjem </w:t>
      </w:r>
      <w:proofErr w:type="spellStart"/>
      <w:r w:rsidR="003F531E" w:rsidRPr="00903734">
        <w:rPr>
          <w:rFonts w:ascii="Arial" w:hAnsi="Arial" w:cs="Arial"/>
          <w:sz w:val="24"/>
          <w:szCs w:val="24"/>
        </w:rPr>
        <w:t>predstečajnoga</w:t>
      </w:r>
      <w:proofErr w:type="spellEnd"/>
      <w:r w:rsidR="003F531E" w:rsidRPr="00903734">
        <w:rPr>
          <w:rFonts w:ascii="Arial" w:hAnsi="Arial" w:cs="Arial"/>
          <w:sz w:val="24"/>
          <w:szCs w:val="24"/>
        </w:rPr>
        <w:t xml:space="preserve"> sporazuma </w:t>
      </w:r>
      <w:r w:rsidR="003F531E" w:rsidRPr="00903734">
        <w:rPr>
          <w:rFonts w:ascii="Arial" w:hAnsi="Arial" w:cs="Arial"/>
          <w:sz w:val="24"/>
          <w:szCs w:val="24"/>
          <w:lang w:val="x-none"/>
        </w:rPr>
        <w:t>ako nije platio dospjelu obvezu, iako ga je vjerovnik pismeno opomenuo i pritom mu odredio naknadni rok u trajanju od najmanje 15 dana</w:t>
      </w:r>
      <w:r w:rsidR="00DA628C" w:rsidRPr="00903734">
        <w:rPr>
          <w:rStyle w:val="Referencafusnote"/>
          <w:rFonts w:ascii="Arial" w:hAnsi="Arial" w:cs="Arial"/>
          <w:sz w:val="24"/>
          <w:szCs w:val="24"/>
          <w:lang w:val="x-none"/>
        </w:rPr>
        <w:footnoteReference w:id="247"/>
      </w:r>
      <w:r w:rsidR="003F531E" w:rsidRPr="00903734">
        <w:rPr>
          <w:rFonts w:ascii="Arial" w:hAnsi="Arial" w:cs="Arial"/>
          <w:sz w:val="24"/>
          <w:szCs w:val="24"/>
          <w:lang w:val="x-none"/>
        </w:rPr>
        <w:t>.</w:t>
      </w:r>
    </w:p>
    <w:p w:rsidR="003A6CC4" w:rsidRPr="00903734" w:rsidRDefault="003F531E" w:rsidP="003A6CC4">
      <w:pPr>
        <w:autoSpaceDE w:val="0"/>
        <w:autoSpaceDN w:val="0"/>
        <w:adjustRightInd w:val="0"/>
        <w:spacing w:before="120" w:after="120" w:line="240" w:lineRule="auto"/>
        <w:jc w:val="both"/>
        <w:rPr>
          <w:rFonts w:ascii="Arial" w:hAnsi="Arial" w:cs="Arial"/>
          <w:sz w:val="24"/>
          <w:szCs w:val="24"/>
        </w:rPr>
      </w:pPr>
      <w:r w:rsidRPr="00903734">
        <w:rPr>
          <w:rFonts w:ascii="Arial" w:hAnsi="Arial" w:cs="Arial"/>
          <w:sz w:val="24"/>
          <w:szCs w:val="24"/>
        </w:rPr>
        <w:tab/>
      </w:r>
      <w:r w:rsidRPr="00903734">
        <w:rPr>
          <w:rFonts w:ascii="Arial" w:hAnsi="Arial" w:cs="Arial"/>
          <w:sz w:val="24"/>
          <w:szCs w:val="24"/>
          <w:lang w:val="x-none"/>
        </w:rPr>
        <w:t xml:space="preserve">Ako se prije potpunoga ispunjenja </w:t>
      </w:r>
      <w:proofErr w:type="spellStart"/>
      <w:r w:rsidRPr="00903734">
        <w:rPr>
          <w:rFonts w:ascii="Arial" w:hAnsi="Arial" w:cs="Arial"/>
          <w:sz w:val="24"/>
          <w:szCs w:val="24"/>
        </w:rPr>
        <w:t>pre</w:t>
      </w:r>
      <w:r w:rsidR="00DA628C" w:rsidRPr="00903734">
        <w:rPr>
          <w:rFonts w:ascii="Arial" w:hAnsi="Arial" w:cs="Arial"/>
          <w:sz w:val="24"/>
          <w:szCs w:val="24"/>
        </w:rPr>
        <w:t>d</w:t>
      </w:r>
      <w:r w:rsidRPr="00903734">
        <w:rPr>
          <w:rFonts w:ascii="Arial" w:hAnsi="Arial" w:cs="Arial"/>
          <w:sz w:val="24"/>
          <w:szCs w:val="24"/>
        </w:rPr>
        <w:t>stečajnoga</w:t>
      </w:r>
      <w:proofErr w:type="spellEnd"/>
      <w:r w:rsidRPr="00903734">
        <w:rPr>
          <w:rFonts w:ascii="Arial" w:hAnsi="Arial" w:cs="Arial"/>
          <w:sz w:val="24"/>
          <w:szCs w:val="24"/>
        </w:rPr>
        <w:t xml:space="preserve"> sporazuma </w:t>
      </w:r>
      <w:r w:rsidRPr="00903734">
        <w:rPr>
          <w:rFonts w:ascii="Arial" w:hAnsi="Arial" w:cs="Arial"/>
          <w:sz w:val="24"/>
          <w:szCs w:val="24"/>
          <w:lang w:val="x-none"/>
        </w:rPr>
        <w:t xml:space="preserve">nad imovinom dužnika otvori stečajni postupak, odgoda i otpust prestaju vrijediti u odnosu na sve </w:t>
      </w:r>
      <w:r w:rsidR="003A6CC4" w:rsidRPr="00903734">
        <w:rPr>
          <w:rFonts w:ascii="Arial" w:hAnsi="Arial" w:cs="Arial"/>
          <w:sz w:val="24"/>
          <w:szCs w:val="24"/>
          <w:lang w:val="x-none"/>
        </w:rPr>
        <w:t>vjerovnike</w:t>
      </w:r>
      <w:r w:rsidR="00DA628C" w:rsidRPr="00903734">
        <w:rPr>
          <w:rStyle w:val="Referencafusnote"/>
          <w:rFonts w:ascii="Arial" w:hAnsi="Arial" w:cs="Arial"/>
          <w:sz w:val="24"/>
          <w:szCs w:val="24"/>
          <w:lang w:val="x-none"/>
        </w:rPr>
        <w:footnoteReference w:id="248"/>
      </w:r>
      <w:r w:rsidR="003A6CC4" w:rsidRPr="00903734">
        <w:rPr>
          <w:rFonts w:ascii="Arial" w:hAnsi="Arial" w:cs="Arial"/>
          <w:sz w:val="24"/>
          <w:szCs w:val="24"/>
          <w:lang w:val="x-none"/>
        </w:rPr>
        <w:t>.</w:t>
      </w:r>
    </w:p>
    <w:p w:rsidR="006674D6" w:rsidRPr="00903734" w:rsidRDefault="003A6CC4" w:rsidP="003A6CC4">
      <w:pPr>
        <w:autoSpaceDE w:val="0"/>
        <w:autoSpaceDN w:val="0"/>
        <w:adjustRightInd w:val="0"/>
        <w:spacing w:before="120" w:after="120" w:line="240" w:lineRule="auto"/>
        <w:jc w:val="both"/>
        <w:rPr>
          <w:rFonts w:ascii="Arial" w:hAnsi="Arial" w:cs="Arial"/>
          <w:sz w:val="24"/>
          <w:szCs w:val="24"/>
        </w:rPr>
      </w:pPr>
      <w:r w:rsidRPr="00903734">
        <w:rPr>
          <w:rFonts w:ascii="Arial" w:hAnsi="Arial" w:cs="Arial"/>
          <w:sz w:val="24"/>
          <w:szCs w:val="24"/>
        </w:rPr>
        <w:tab/>
      </w:r>
      <w:r w:rsidRPr="00903734">
        <w:rPr>
          <w:rFonts w:ascii="Arial" w:hAnsi="Arial" w:cs="Arial"/>
          <w:sz w:val="24"/>
          <w:szCs w:val="24"/>
          <w:lang w:val="x-none"/>
        </w:rPr>
        <w:t xml:space="preserve">Na osnovi pravomoćnoga rješenja o potvrdi </w:t>
      </w:r>
      <w:proofErr w:type="spellStart"/>
      <w:r w:rsidRPr="00903734">
        <w:rPr>
          <w:rFonts w:ascii="Arial" w:hAnsi="Arial" w:cs="Arial"/>
          <w:sz w:val="24"/>
          <w:szCs w:val="24"/>
        </w:rPr>
        <w:t>pre</w:t>
      </w:r>
      <w:r w:rsidR="00DA628C" w:rsidRPr="00903734">
        <w:rPr>
          <w:rFonts w:ascii="Arial" w:hAnsi="Arial" w:cs="Arial"/>
          <w:sz w:val="24"/>
          <w:szCs w:val="24"/>
        </w:rPr>
        <w:t>d</w:t>
      </w:r>
      <w:r w:rsidRPr="00903734">
        <w:rPr>
          <w:rFonts w:ascii="Arial" w:hAnsi="Arial" w:cs="Arial"/>
          <w:sz w:val="24"/>
          <w:szCs w:val="24"/>
        </w:rPr>
        <w:t>stečajnoga</w:t>
      </w:r>
      <w:proofErr w:type="spellEnd"/>
      <w:r w:rsidRPr="00903734">
        <w:rPr>
          <w:rFonts w:ascii="Arial" w:hAnsi="Arial" w:cs="Arial"/>
          <w:sz w:val="24"/>
          <w:szCs w:val="24"/>
        </w:rPr>
        <w:t xml:space="preserve"> sporazuma </w:t>
      </w:r>
      <w:r w:rsidRPr="00903734">
        <w:rPr>
          <w:rFonts w:ascii="Arial" w:hAnsi="Arial" w:cs="Arial"/>
          <w:sz w:val="24"/>
          <w:szCs w:val="24"/>
          <w:lang w:val="x-none"/>
        </w:rPr>
        <w:t>stečajni vjerovnici čije su tražbine utvrđene i koje na ispitnom ročištu dužnik nije osporio mogu pokrenuti postupak ovrhe protiv dužnika. S neosporenom tražbinom izjednačena je i ona čije je osporavanje otklonjeno</w:t>
      </w:r>
      <w:r w:rsidR="00DA628C" w:rsidRPr="00903734">
        <w:rPr>
          <w:rStyle w:val="Referencafusnote"/>
          <w:rFonts w:ascii="Arial" w:hAnsi="Arial" w:cs="Arial"/>
          <w:sz w:val="24"/>
          <w:szCs w:val="24"/>
          <w:lang w:val="x-none"/>
        </w:rPr>
        <w:footnoteReference w:id="249"/>
      </w:r>
      <w:r w:rsidRPr="00903734">
        <w:rPr>
          <w:rFonts w:ascii="Arial" w:hAnsi="Arial" w:cs="Arial"/>
          <w:sz w:val="24"/>
          <w:szCs w:val="24"/>
        </w:rPr>
        <w:t>.</w:t>
      </w:r>
    </w:p>
    <w:p w:rsidR="003A6CC4" w:rsidRPr="00903734" w:rsidRDefault="003A6CC4" w:rsidP="003A6CC4">
      <w:pPr>
        <w:autoSpaceDE w:val="0"/>
        <w:autoSpaceDN w:val="0"/>
        <w:adjustRightInd w:val="0"/>
        <w:spacing w:before="120" w:after="120" w:line="240" w:lineRule="auto"/>
        <w:jc w:val="both"/>
        <w:rPr>
          <w:rFonts w:ascii="Arial" w:hAnsi="Arial" w:cs="Arial"/>
          <w:sz w:val="24"/>
          <w:szCs w:val="24"/>
        </w:rPr>
      </w:pPr>
      <w:r>
        <w:rPr>
          <w:rFonts w:ascii="Times New Roman" w:hAnsi="Times New Roman" w:cs="Times New Roman"/>
          <w:sz w:val="24"/>
          <w:szCs w:val="24"/>
        </w:rPr>
        <w:tab/>
      </w:r>
      <w:r w:rsidRPr="00903734">
        <w:rPr>
          <w:rFonts w:ascii="Arial" w:hAnsi="Arial" w:cs="Arial"/>
          <w:sz w:val="24"/>
          <w:szCs w:val="24"/>
          <w:lang w:val="x-none"/>
        </w:rPr>
        <w:t xml:space="preserve">Prava koja mu pripadaju u slučaju znatnoga zakašnjenja dužnika s ispunjenjem </w:t>
      </w:r>
      <w:proofErr w:type="spellStart"/>
      <w:r w:rsidRPr="00903734">
        <w:rPr>
          <w:rFonts w:ascii="Arial" w:hAnsi="Arial" w:cs="Arial"/>
          <w:sz w:val="24"/>
          <w:szCs w:val="24"/>
        </w:rPr>
        <w:t>pre</w:t>
      </w:r>
      <w:r w:rsidR="00DA628C" w:rsidRPr="00903734">
        <w:rPr>
          <w:rFonts w:ascii="Arial" w:hAnsi="Arial" w:cs="Arial"/>
          <w:sz w:val="24"/>
          <w:szCs w:val="24"/>
        </w:rPr>
        <w:t>d</w:t>
      </w:r>
      <w:r w:rsidRPr="00903734">
        <w:rPr>
          <w:rFonts w:ascii="Arial" w:hAnsi="Arial" w:cs="Arial"/>
          <w:sz w:val="24"/>
          <w:szCs w:val="24"/>
        </w:rPr>
        <w:t>stečajnoga</w:t>
      </w:r>
      <w:proofErr w:type="spellEnd"/>
      <w:r w:rsidRPr="00903734">
        <w:rPr>
          <w:rFonts w:ascii="Arial" w:hAnsi="Arial" w:cs="Arial"/>
          <w:sz w:val="24"/>
          <w:szCs w:val="24"/>
        </w:rPr>
        <w:t xml:space="preserve"> sporazuma </w:t>
      </w:r>
      <w:r w:rsidRPr="00903734">
        <w:rPr>
          <w:rFonts w:ascii="Arial" w:hAnsi="Arial" w:cs="Arial"/>
          <w:sz w:val="24"/>
          <w:szCs w:val="24"/>
          <w:lang w:val="x-none"/>
        </w:rPr>
        <w:t xml:space="preserve">vjerovnik može prisilno ostvariti na temelju rješenja kojim je potvrđen </w:t>
      </w:r>
      <w:proofErr w:type="spellStart"/>
      <w:r w:rsidRPr="00903734">
        <w:rPr>
          <w:rFonts w:ascii="Arial" w:hAnsi="Arial" w:cs="Arial"/>
          <w:sz w:val="24"/>
          <w:szCs w:val="24"/>
        </w:rPr>
        <w:t>pre</w:t>
      </w:r>
      <w:r w:rsidR="00DA628C" w:rsidRPr="00903734">
        <w:rPr>
          <w:rFonts w:ascii="Arial" w:hAnsi="Arial" w:cs="Arial"/>
          <w:sz w:val="24"/>
          <w:szCs w:val="24"/>
        </w:rPr>
        <w:t>d</w:t>
      </w:r>
      <w:r w:rsidRPr="00903734">
        <w:rPr>
          <w:rFonts w:ascii="Arial" w:hAnsi="Arial" w:cs="Arial"/>
          <w:sz w:val="24"/>
          <w:szCs w:val="24"/>
        </w:rPr>
        <w:t>stečajni</w:t>
      </w:r>
      <w:proofErr w:type="spellEnd"/>
      <w:r w:rsidRPr="00903734">
        <w:rPr>
          <w:rFonts w:ascii="Arial" w:hAnsi="Arial" w:cs="Arial"/>
          <w:sz w:val="24"/>
          <w:szCs w:val="24"/>
        </w:rPr>
        <w:t xml:space="preserve"> sporazum </w:t>
      </w:r>
      <w:r w:rsidRPr="00903734">
        <w:rPr>
          <w:rFonts w:ascii="Arial" w:hAnsi="Arial" w:cs="Arial"/>
          <w:sz w:val="24"/>
          <w:szCs w:val="24"/>
          <w:lang w:val="x-none"/>
        </w:rPr>
        <w:t xml:space="preserve">i rješenja kojim je utvrđena njegova tražbina u </w:t>
      </w:r>
      <w:r w:rsidRPr="00903734">
        <w:rPr>
          <w:rFonts w:ascii="Arial" w:hAnsi="Arial" w:cs="Arial"/>
          <w:sz w:val="24"/>
          <w:szCs w:val="24"/>
        </w:rPr>
        <w:t>pred</w:t>
      </w:r>
      <w:r w:rsidRPr="00903734">
        <w:rPr>
          <w:rFonts w:ascii="Arial" w:hAnsi="Arial" w:cs="Arial"/>
          <w:sz w:val="24"/>
          <w:szCs w:val="24"/>
          <w:lang w:val="x-none"/>
        </w:rPr>
        <w:t>stečajnom postupku, ako učini vjerojatnim da je dužnika propisno opomenuo te da je istekao rok koji je naknadno odredio dužniku. Vjerovnik nije dužan dokazati zakašnjenje dužnika</w:t>
      </w:r>
      <w:r w:rsidR="00DA628C" w:rsidRPr="00903734">
        <w:rPr>
          <w:rStyle w:val="Referencafusnote"/>
          <w:rFonts w:ascii="Arial" w:hAnsi="Arial" w:cs="Arial"/>
          <w:sz w:val="24"/>
          <w:szCs w:val="24"/>
          <w:lang w:val="x-none"/>
        </w:rPr>
        <w:footnoteReference w:id="250"/>
      </w:r>
      <w:r w:rsidRPr="00903734">
        <w:rPr>
          <w:rFonts w:ascii="Arial" w:hAnsi="Arial" w:cs="Arial"/>
          <w:sz w:val="24"/>
          <w:szCs w:val="24"/>
          <w:lang w:val="x-none"/>
        </w:rPr>
        <w:t>.</w:t>
      </w:r>
    </w:p>
    <w:p w:rsidR="00C57425" w:rsidRPr="00C57425" w:rsidRDefault="00C57425" w:rsidP="003A6CC4">
      <w:pPr>
        <w:autoSpaceDE w:val="0"/>
        <w:autoSpaceDN w:val="0"/>
        <w:adjustRightInd w:val="0"/>
        <w:spacing w:before="120" w:after="120" w:line="240" w:lineRule="auto"/>
        <w:jc w:val="both"/>
        <w:rPr>
          <w:rFonts w:ascii="Times New Roman" w:hAnsi="Times New Roman" w:cs="Times New Roman"/>
          <w:sz w:val="24"/>
          <w:szCs w:val="24"/>
        </w:rPr>
      </w:pPr>
    </w:p>
    <w:p w:rsidR="00C57425" w:rsidRPr="00281FC4" w:rsidRDefault="00281FC4" w:rsidP="00281FC4">
      <w:pPr>
        <w:pStyle w:val="Naslov3"/>
      </w:pPr>
      <w:bookmarkStart w:id="43" w:name="_Toc507067640"/>
      <w:r>
        <w:t>3.4.1.</w:t>
      </w:r>
      <w:r w:rsidR="00C57425" w:rsidRPr="00281FC4">
        <w:t xml:space="preserve">Učinak rješenja o potvrdi </w:t>
      </w:r>
      <w:proofErr w:type="spellStart"/>
      <w:r w:rsidR="00C57425" w:rsidRPr="00281FC4">
        <w:t>predstečajnog</w:t>
      </w:r>
      <w:proofErr w:type="spellEnd"/>
      <w:r w:rsidR="00C57425" w:rsidRPr="00281FC4">
        <w:t xml:space="preserve"> sporazuma na odgovornost jamca</w:t>
      </w:r>
      <w:bookmarkEnd w:id="43"/>
    </w:p>
    <w:p w:rsidR="00DA400A" w:rsidRPr="00DA400A" w:rsidRDefault="00DA400A" w:rsidP="00DA400A">
      <w:pPr>
        <w:suppressAutoHyphens/>
        <w:spacing w:after="0" w:line="240" w:lineRule="auto"/>
        <w:ind w:left="1070"/>
        <w:jc w:val="both"/>
        <w:rPr>
          <w:rFonts w:ascii="Arial" w:hAnsi="Arial" w:cs="Arial"/>
        </w:rPr>
      </w:pPr>
    </w:p>
    <w:p w:rsidR="00C57425" w:rsidRDefault="00C57425" w:rsidP="00903734">
      <w:pPr>
        <w:pStyle w:val="Bezproreda"/>
        <w:jc w:val="both"/>
      </w:pPr>
      <w:r w:rsidRPr="00DA400A">
        <w:tab/>
        <w:t xml:space="preserve">Pravilo je da jamčeva obveza ne može biti veća od obveze glavnog dužnika. Navedeno pravilo ima za svrhu onemogućiti vjerovnika da se na račun jamca odrekne dijela tražbine i na taj način oteža ili onemogući namirenje jamca od glavnog dužnika. </w:t>
      </w:r>
    </w:p>
    <w:p w:rsidR="00903734" w:rsidRPr="00DA400A" w:rsidRDefault="00903734" w:rsidP="00903734">
      <w:pPr>
        <w:pStyle w:val="Bezproreda"/>
        <w:jc w:val="both"/>
      </w:pPr>
    </w:p>
    <w:p w:rsidR="00C57425" w:rsidRDefault="00C57425" w:rsidP="00903734">
      <w:pPr>
        <w:pStyle w:val="Bezproreda"/>
        <w:jc w:val="both"/>
      </w:pPr>
      <w:r w:rsidRPr="00DA400A">
        <w:rPr>
          <w:szCs w:val="24"/>
        </w:rPr>
        <w:tab/>
      </w:r>
      <w:r w:rsidRPr="00DA400A">
        <w:t xml:space="preserve">Odredba članka 62. st. 4. SZ-a propisuje da se odredbe glave VII. tog Zakona o učincima stečajnog plana i nadzoru nad njegovim ispunjenjem primjenjuju na odgovarajući način na potvrđeni </w:t>
      </w:r>
      <w:proofErr w:type="spellStart"/>
      <w:r w:rsidRPr="00DA400A">
        <w:t>predstečajni</w:t>
      </w:r>
      <w:proofErr w:type="spellEnd"/>
      <w:r w:rsidRPr="00DA400A">
        <w:t xml:space="preserve"> sporazum. Odredba članka 340. st.1. SZ-a propisuje da rješenje o potvrdi </w:t>
      </w:r>
      <w:proofErr w:type="spellStart"/>
      <w:r w:rsidRPr="00DA400A">
        <w:t>predstečajnog</w:t>
      </w:r>
      <w:proofErr w:type="spellEnd"/>
      <w:r w:rsidRPr="00DA400A">
        <w:t xml:space="preserve"> sporazuma djeluje prema svim sudionicima od svoje pravomoćnosti. Predmnijevajući da je vjerovnik čija je tražbina osigurana jamstvom bio sudionik </w:t>
      </w:r>
      <w:proofErr w:type="spellStart"/>
      <w:r w:rsidRPr="00DA400A">
        <w:t>predstečajnog</w:t>
      </w:r>
      <w:proofErr w:type="spellEnd"/>
      <w:r w:rsidRPr="00DA400A">
        <w:t xml:space="preserve"> postupka i da se dužnik na temelju potvrđenog </w:t>
      </w:r>
      <w:proofErr w:type="spellStart"/>
      <w:r w:rsidRPr="00DA400A">
        <w:t>predstečajnog</w:t>
      </w:r>
      <w:proofErr w:type="spellEnd"/>
      <w:r w:rsidRPr="00DA400A">
        <w:t xml:space="preserve"> sporazuma oslobodio dijela obveze prema vjerovniku to oslobađanje dužnika od obveze prema vjerovniku ima učinak i prema sudužnicima, jamcima i drugim regresnim ovlaštenicima, odnosno dužnik se oslobađa obveze i prema svojim sudužnicima, jamcima i drugim regresnim ovlaštenicima na isti način kao prema svojim vjerovnicima. S druge strane, rješenje o potvrdi </w:t>
      </w:r>
      <w:proofErr w:type="spellStart"/>
      <w:r w:rsidRPr="00DA400A">
        <w:t>predstečajnog</w:t>
      </w:r>
      <w:proofErr w:type="spellEnd"/>
      <w:r w:rsidRPr="00DA400A">
        <w:t xml:space="preserve"> sporazuma ne djeluje na prava vjerovnika protiv sudužnika i dužnikovih jamaca te u tom slučaju </w:t>
      </w:r>
      <w:r w:rsidRPr="00DA400A">
        <w:rPr>
          <w:szCs w:val="24"/>
        </w:rPr>
        <w:t>jamčeva obveza može biti veća od obveze glavnog dužnika,</w:t>
      </w:r>
      <w:r w:rsidRPr="00DA400A">
        <w:t xml:space="preserve"> koja je umanjenja </w:t>
      </w:r>
      <w:proofErr w:type="spellStart"/>
      <w:r w:rsidRPr="00DA400A">
        <w:t>prestečajnim</w:t>
      </w:r>
      <w:proofErr w:type="spellEnd"/>
      <w:r w:rsidRPr="00DA400A">
        <w:t xml:space="preserve"> sporazumom.</w:t>
      </w:r>
    </w:p>
    <w:p w:rsidR="00903734" w:rsidRPr="00DA400A" w:rsidRDefault="00903734" w:rsidP="00903734">
      <w:pPr>
        <w:pStyle w:val="Bezproreda"/>
        <w:jc w:val="both"/>
        <w:rPr>
          <w:rFonts w:eastAsia="Arial"/>
          <w:szCs w:val="24"/>
        </w:rPr>
      </w:pPr>
    </w:p>
    <w:p w:rsidR="00C57425" w:rsidRDefault="00C57425" w:rsidP="00903734">
      <w:pPr>
        <w:pStyle w:val="Bezproreda"/>
        <w:jc w:val="both"/>
      </w:pPr>
      <w:r w:rsidRPr="00DA400A">
        <w:rPr>
          <w:szCs w:val="24"/>
        </w:rPr>
        <w:t xml:space="preserve"> </w:t>
      </w:r>
      <w:r w:rsidRPr="00DA400A">
        <w:rPr>
          <w:szCs w:val="24"/>
        </w:rPr>
        <w:tab/>
      </w:r>
      <w:r w:rsidRPr="00DA400A">
        <w:t xml:space="preserve">Jamci traže odgovor na pitanje može li vjerovnik u slučaju sklapanja </w:t>
      </w:r>
      <w:proofErr w:type="spellStart"/>
      <w:r w:rsidRPr="00DA400A">
        <w:t>predstečajne</w:t>
      </w:r>
      <w:proofErr w:type="spellEnd"/>
      <w:r w:rsidRPr="00DA400A">
        <w:t xml:space="preserve"> nagodbe </w:t>
      </w:r>
      <w:r w:rsidR="00DA400A" w:rsidRPr="00DA400A">
        <w:t xml:space="preserve">(sporazuma) </w:t>
      </w:r>
      <w:r w:rsidRPr="00DA400A">
        <w:t xml:space="preserve">od jamca zahtijevati veću odgovornost od nagodbene svote između vjerovnika i dužnika ? Ako je </w:t>
      </w:r>
      <w:proofErr w:type="spellStart"/>
      <w:r w:rsidRPr="00DA400A">
        <w:t>predstečajni</w:t>
      </w:r>
      <w:proofErr w:type="spellEnd"/>
      <w:r w:rsidRPr="00DA400A">
        <w:t xml:space="preserve"> sporazum nagodba, te je u njenom sklapanju izraženo načelo </w:t>
      </w:r>
      <w:r w:rsidRPr="00DA400A">
        <w:lastRenderedPageBreak/>
        <w:t>dobrovoljnosti opravdano se postavlja pitanje može li vjerovnik svojom dobrovoljnom radnjom smanjiti obvezu glavnog dužnika, a i dalje teretiti jamca za puni iznos tražbine i je li takvo rješenje u skladu s Ustavom RH. Ovo posebno zbog činjenice što Zakon o obveznim odnosima</w:t>
      </w:r>
      <w:r w:rsidRPr="00DA400A">
        <w:rPr>
          <w:rStyle w:val="FootnoteCharacters"/>
          <w:rFonts w:cs="Arial"/>
        </w:rPr>
        <w:footnoteReference w:id="251"/>
      </w:r>
      <w:r w:rsidRPr="00DA400A">
        <w:t xml:space="preserve"> propisuje da sklapanjem nagodbe obje strane moraju popustiti te se nagodbom redovito smanjuju obveze </w:t>
      </w:r>
      <w:proofErr w:type="spellStart"/>
      <w:r w:rsidRPr="00DA400A">
        <w:t>suugovaratelja</w:t>
      </w:r>
      <w:proofErr w:type="spellEnd"/>
      <w:r w:rsidRPr="00DA400A">
        <w:t xml:space="preserve"> pa bi i odgovornost jamca trebala biti manja. Navedena dvojba posebno je izražena u slučaju </w:t>
      </w:r>
      <w:r w:rsidRPr="00DA400A">
        <w:rPr>
          <w:color w:val="4C4C4C"/>
          <w:szCs w:val="24"/>
        </w:rPr>
        <w:t>a</w:t>
      </w:r>
      <w:r w:rsidRPr="00DA400A">
        <w:t xml:space="preserve">ko bi u </w:t>
      </w:r>
      <w:proofErr w:type="spellStart"/>
      <w:r w:rsidRPr="00DA400A">
        <w:t>predstečajnom</w:t>
      </w:r>
      <w:proofErr w:type="spellEnd"/>
      <w:r w:rsidRPr="00DA400A">
        <w:t xml:space="preserve"> postupku na vjerovničkoj strani sudjelovao samo jedan vjerovnik, čija je tražbina osigurana jamstvom, a vjerovnik  sporazumom pristane na smanjenje dospjele tražbine prema dužniku.</w:t>
      </w:r>
    </w:p>
    <w:p w:rsidR="00903734" w:rsidRPr="00DA400A" w:rsidRDefault="00903734" w:rsidP="00903734">
      <w:pPr>
        <w:pStyle w:val="Bezproreda"/>
        <w:jc w:val="both"/>
      </w:pPr>
    </w:p>
    <w:p w:rsidR="00903734" w:rsidRDefault="00C57425" w:rsidP="00903734">
      <w:pPr>
        <w:pStyle w:val="Bezproreda"/>
        <w:jc w:val="both"/>
      </w:pPr>
      <w:r w:rsidRPr="00DA400A">
        <w:tab/>
        <w:t xml:space="preserve">Dobrovoljni karakter </w:t>
      </w:r>
      <w:proofErr w:type="spellStart"/>
      <w:r w:rsidRPr="00DA400A">
        <w:t>predstečajnog</w:t>
      </w:r>
      <w:proofErr w:type="spellEnd"/>
      <w:r w:rsidRPr="00DA400A">
        <w:t xml:space="preserve"> sporazuma dovodi u pitanje njezina prisilna dimenzija odnosno činjenica da rješenje o potvrdi </w:t>
      </w:r>
      <w:proofErr w:type="spellStart"/>
      <w:r w:rsidRPr="00DA400A">
        <w:t>predstečajnog</w:t>
      </w:r>
      <w:proofErr w:type="spellEnd"/>
      <w:r w:rsidRPr="00DA400A">
        <w:t xml:space="preserve"> sporazuma djeluje i prema onim vjerovnicima koji su glasovali protiv sporazuma, ali i prema onima koji uopće nisu prijavili svoje tražbine. Polazeći od jednog od ciljeva </w:t>
      </w:r>
      <w:proofErr w:type="spellStart"/>
      <w:r w:rsidRPr="00DA400A">
        <w:t>predstečajnoga</w:t>
      </w:r>
      <w:proofErr w:type="spellEnd"/>
      <w:r w:rsidRPr="00DA400A">
        <w:t xml:space="preserve"> postupka – povoljniji uvjeti namirenja tražbina vjerovnika od uvjeta koje bi vjerovnik ostvario da je protiv dužnika pokrenut stečajni postupak, predmnijeva da su uvjeti </w:t>
      </w:r>
      <w:proofErr w:type="spellStart"/>
      <w:r w:rsidRPr="00DA400A">
        <w:t>predstečajnog</w:t>
      </w:r>
      <w:proofErr w:type="spellEnd"/>
      <w:r w:rsidRPr="00DA400A">
        <w:t xml:space="preserve"> sporazuma povoljniji i za vjerovnika. Slijedom toga, </w:t>
      </w:r>
      <w:proofErr w:type="spellStart"/>
      <w:r w:rsidRPr="00DA400A">
        <w:t>predstečajni</w:t>
      </w:r>
      <w:proofErr w:type="spellEnd"/>
      <w:r w:rsidRPr="00DA400A">
        <w:t xml:space="preserve"> sporazum može biti koristan i za jamca, jer se predmnijeva da će se vjerovnik više namiriti od glavnog dužnika nego u slučaju stečaja, a time će i položaj jamca biti povoljniji.</w:t>
      </w:r>
    </w:p>
    <w:p w:rsidR="00C57425" w:rsidRPr="00DA400A" w:rsidRDefault="00C57425" w:rsidP="00903734">
      <w:pPr>
        <w:pStyle w:val="Bezproreda"/>
        <w:jc w:val="both"/>
      </w:pPr>
      <w:r w:rsidRPr="00DA400A">
        <w:t xml:space="preserve"> </w:t>
      </w:r>
    </w:p>
    <w:p w:rsidR="00DA400A" w:rsidRPr="00DA400A" w:rsidRDefault="00DA400A" w:rsidP="00903734">
      <w:pPr>
        <w:pStyle w:val="Bezproreda"/>
        <w:ind w:firstLine="708"/>
        <w:jc w:val="both"/>
      </w:pPr>
      <w:r w:rsidRPr="00DA400A">
        <w:t xml:space="preserve">U odlukama sudova izraženo je pravno shvaćanje da </w:t>
      </w:r>
      <w:proofErr w:type="spellStart"/>
      <w:r w:rsidRPr="00DA400A">
        <w:t>predstečajna</w:t>
      </w:r>
      <w:proofErr w:type="spellEnd"/>
      <w:r w:rsidRPr="00DA400A">
        <w:t xml:space="preserve"> nagodba ima učinak sudske nagodbe te nakon sklapanja </w:t>
      </w:r>
      <w:proofErr w:type="spellStart"/>
      <w:r w:rsidRPr="00DA400A">
        <w:t>predstečajne</w:t>
      </w:r>
      <w:proofErr w:type="spellEnd"/>
      <w:r w:rsidRPr="00DA400A">
        <w:t xml:space="preserve"> nagodbe sud rješenjem utvrđuje da je tužba povučena ako je nagodbom obuhvaćena predmetna tražbina na temelju odredbe članka 321. st. 8. ZPP-a. Otvoreno je pitanje ima li </w:t>
      </w:r>
      <w:proofErr w:type="spellStart"/>
      <w:r w:rsidRPr="00DA400A">
        <w:t>predstečajni</w:t>
      </w:r>
      <w:proofErr w:type="spellEnd"/>
      <w:r w:rsidRPr="00DA400A">
        <w:t xml:space="preserve"> sporazum učinak sudske nagodbe i mogu li sudovi nakon rješenja o potvrdi </w:t>
      </w:r>
      <w:proofErr w:type="spellStart"/>
      <w:r w:rsidRPr="00DA400A">
        <w:t>predstečajnog</w:t>
      </w:r>
      <w:proofErr w:type="spellEnd"/>
      <w:r w:rsidRPr="00DA400A">
        <w:t xml:space="preserve"> sporazuma utvrditi da je tužba povučena. Nema zapreka da se i </w:t>
      </w:r>
      <w:proofErr w:type="spellStart"/>
      <w:r w:rsidRPr="00DA400A">
        <w:t>predstečajni</w:t>
      </w:r>
      <w:proofErr w:type="spellEnd"/>
      <w:r w:rsidRPr="00DA400A">
        <w:t xml:space="preserve"> sporazum smatra nagodbom.</w:t>
      </w:r>
    </w:p>
    <w:p w:rsidR="008B62AB" w:rsidRPr="008B62AB" w:rsidRDefault="008B62AB" w:rsidP="003A6CC4">
      <w:pPr>
        <w:autoSpaceDE w:val="0"/>
        <w:autoSpaceDN w:val="0"/>
        <w:adjustRightInd w:val="0"/>
        <w:spacing w:before="120" w:after="120" w:line="240" w:lineRule="auto"/>
        <w:jc w:val="both"/>
        <w:rPr>
          <w:rFonts w:ascii="Times New Roman" w:hAnsi="Times New Roman" w:cs="Times New Roman"/>
          <w:sz w:val="24"/>
          <w:szCs w:val="24"/>
        </w:rPr>
      </w:pPr>
    </w:p>
    <w:p w:rsidR="00575D8F" w:rsidRPr="00281FC4" w:rsidRDefault="00281FC4" w:rsidP="00281FC4">
      <w:pPr>
        <w:pStyle w:val="Naslov1"/>
        <w:rPr>
          <w:lang w:val="x-none"/>
        </w:rPr>
      </w:pPr>
      <w:bookmarkStart w:id="44" w:name="_Toc507067641"/>
      <w:r>
        <w:t>4</w:t>
      </w:r>
      <w:r w:rsidRPr="00281FC4">
        <w:t xml:space="preserve">. </w:t>
      </w:r>
      <w:r w:rsidRPr="00281FC4">
        <w:rPr>
          <w:lang w:val="x-none"/>
        </w:rPr>
        <w:t>P</w:t>
      </w:r>
      <w:r w:rsidRPr="00281FC4">
        <w:t>RAVNE POSLJEDICE OTVARANJA PREDSTEČAJNOG POSTUPKA</w:t>
      </w:r>
      <w:bookmarkEnd w:id="44"/>
    </w:p>
    <w:p w:rsidR="00281FC4" w:rsidRDefault="00281FC4" w:rsidP="00281FC4">
      <w:pPr>
        <w:autoSpaceDE w:val="0"/>
        <w:autoSpaceDN w:val="0"/>
        <w:adjustRightInd w:val="0"/>
        <w:spacing w:before="120" w:after="120" w:line="240" w:lineRule="auto"/>
        <w:jc w:val="both"/>
        <w:rPr>
          <w:rFonts w:ascii="Times New Roman" w:hAnsi="Times New Roman" w:cs="Times New Roman"/>
          <w:b/>
          <w:sz w:val="24"/>
          <w:szCs w:val="24"/>
        </w:rPr>
      </w:pPr>
    </w:p>
    <w:p w:rsidR="006674D6" w:rsidRDefault="00281FC4" w:rsidP="00281FC4">
      <w:pPr>
        <w:pStyle w:val="Naslov2"/>
      </w:pPr>
      <w:bookmarkStart w:id="45" w:name="_Toc507067642"/>
      <w:r>
        <w:rPr>
          <w:rFonts w:ascii="Times New Roman" w:hAnsi="Times New Roman" w:cs="Times New Roman"/>
        </w:rPr>
        <w:t>4.</w:t>
      </w:r>
      <w:r w:rsidR="00756FDF" w:rsidRPr="000F4408">
        <w:t xml:space="preserve">1. </w:t>
      </w:r>
      <w:r w:rsidR="006674D6" w:rsidRPr="000F4408">
        <w:t>Nastupanje pravnih posljedica</w:t>
      </w:r>
      <w:bookmarkEnd w:id="45"/>
    </w:p>
    <w:p w:rsidR="00281FC4" w:rsidRPr="00281FC4" w:rsidRDefault="00281FC4" w:rsidP="00281FC4"/>
    <w:p w:rsidR="00086220" w:rsidRPr="000F4408" w:rsidRDefault="00086220" w:rsidP="00086220">
      <w:pPr>
        <w:autoSpaceDE w:val="0"/>
        <w:autoSpaceDN w:val="0"/>
        <w:adjustRightInd w:val="0"/>
        <w:spacing w:before="120" w:after="120" w:line="240" w:lineRule="auto"/>
        <w:jc w:val="both"/>
        <w:rPr>
          <w:rFonts w:ascii="Arial" w:hAnsi="Arial" w:cs="Arial"/>
          <w:sz w:val="24"/>
          <w:szCs w:val="24"/>
          <w:lang w:val="x-none"/>
        </w:rPr>
      </w:pPr>
      <w:r>
        <w:rPr>
          <w:rFonts w:ascii="Times New Roman" w:hAnsi="Times New Roman" w:cs="Times New Roman"/>
          <w:sz w:val="24"/>
          <w:szCs w:val="24"/>
        </w:rPr>
        <w:tab/>
      </w:r>
      <w:r w:rsidRPr="000F4408">
        <w:rPr>
          <w:rFonts w:ascii="Arial" w:hAnsi="Arial" w:cs="Arial"/>
          <w:sz w:val="24"/>
          <w:szCs w:val="24"/>
          <w:lang w:val="x-none"/>
        </w:rPr>
        <w:t xml:space="preserve">Pravne posljedice otvaranja </w:t>
      </w:r>
      <w:proofErr w:type="spellStart"/>
      <w:r w:rsidRPr="000F4408">
        <w:rPr>
          <w:rFonts w:ascii="Arial" w:hAnsi="Arial" w:cs="Arial"/>
          <w:sz w:val="24"/>
          <w:szCs w:val="24"/>
          <w:lang w:val="x-none"/>
        </w:rPr>
        <w:t>predstečajnog</w:t>
      </w:r>
      <w:proofErr w:type="spellEnd"/>
      <w:r w:rsidRPr="000F4408">
        <w:rPr>
          <w:rFonts w:ascii="Arial" w:hAnsi="Arial" w:cs="Arial"/>
          <w:sz w:val="24"/>
          <w:szCs w:val="24"/>
          <w:lang w:val="x-none"/>
        </w:rPr>
        <w:t xml:space="preserve"> postupka nastupaju u trenutku kad je rješenje o otvaranju </w:t>
      </w:r>
      <w:proofErr w:type="spellStart"/>
      <w:r w:rsidRPr="000F4408">
        <w:rPr>
          <w:rFonts w:ascii="Arial" w:hAnsi="Arial" w:cs="Arial"/>
          <w:sz w:val="24"/>
          <w:szCs w:val="24"/>
          <w:lang w:val="x-none"/>
        </w:rPr>
        <w:t>predstečajnoga</w:t>
      </w:r>
      <w:proofErr w:type="spellEnd"/>
      <w:r w:rsidRPr="000F4408">
        <w:rPr>
          <w:rFonts w:ascii="Arial" w:hAnsi="Arial" w:cs="Arial"/>
          <w:sz w:val="24"/>
          <w:szCs w:val="24"/>
          <w:lang w:val="x-none"/>
        </w:rPr>
        <w:t xml:space="preserve"> postupka objavljeno na mrežnoj stranici e-Oglasna ploča sudova</w:t>
      </w:r>
      <w:r w:rsidR="005920CF" w:rsidRPr="000F4408">
        <w:rPr>
          <w:rStyle w:val="Referencafusnote"/>
          <w:rFonts w:ascii="Arial" w:hAnsi="Arial" w:cs="Arial"/>
          <w:sz w:val="24"/>
          <w:szCs w:val="24"/>
          <w:lang w:val="x-none"/>
        </w:rPr>
        <w:footnoteReference w:id="252"/>
      </w:r>
      <w:r w:rsidRPr="000F4408">
        <w:rPr>
          <w:rFonts w:ascii="Arial" w:hAnsi="Arial" w:cs="Arial"/>
          <w:sz w:val="24"/>
          <w:szCs w:val="24"/>
          <w:lang w:val="x-none"/>
        </w:rPr>
        <w:t>.</w:t>
      </w:r>
    </w:p>
    <w:p w:rsidR="00086220" w:rsidRPr="000F4408" w:rsidRDefault="00086220" w:rsidP="00086220">
      <w:pPr>
        <w:autoSpaceDE w:val="0"/>
        <w:autoSpaceDN w:val="0"/>
        <w:adjustRightInd w:val="0"/>
        <w:spacing w:before="120" w:after="120" w:line="240" w:lineRule="auto"/>
        <w:jc w:val="both"/>
        <w:rPr>
          <w:rFonts w:ascii="Arial" w:hAnsi="Arial" w:cs="Arial"/>
          <w:sz w:val="24"/>
          <w:szCs w:val="24"/>
          <w:lang w:val="x-none"/>
        </w:rPr>
      </w:pPr>
      <w:r>
        <w:rPr>
          <w:rFonts w:ascii="Times New Roman" w:hAnsi="Times New Roman" w:cs="Times New Roman"/>
          <w:sz w:val="24"/>
          <w:szCs w:val="24"/>
        </w:rPr>
        <w:tab/>
      </w:r>
      <w:r w:rsidRPr="000F4408">
        <w:rPr>
          <w:rFonts w:ascii="Arial" w:hAnsi="Arial" w:cs="Arial"/>
          <w:sz w:val="24"/>
          <w:szCs w:val="24"/>
          <w:lang w:val="x-none"/>
        </w:rPr>
        <w:t xml:space="preserve">Ako rješenje o otvaranju </w:t>
      </w:r>
      <w:proofErr w:type="spellStart"/>
      <w:r w:rsidRPr="000F4408">
        <w:rPr>
          <w:rFonts w:ascii="Arial" w:hAnsi="Arial" w:cs="Arial"/>
          <w:sz w:val="24"/>
          <w:szCs w:val="24"/>
          <w:lang w:val="x-none"/>
        </w:rPr>
        <w:t>predstečajnoga</w:t>
      </w:r>
      <w:proofErr w:type="spellEnd"/>
      <w:r w:rsidRPr="000F4408">
        <w:rPr>
          <w:rFonts w:ascii="Arial" w:hAnsi="Arial" w:cs="Arial"/>
          <w:sz w:val="24"/>
          <w:szCs w:val="24"/>
          <w:lang w:val="x-none"/>
        </w:rPr>
        <w:t xml:space="preserve"> postupka u povodu žalbe bude ukinuto, a u ponovnom postupku </w:t>
      </w:r>
      <w:proofErr w:type="spellStart"/>
      <w:r w:rsidRPr="000F4408">
        <w:rPr>
          <w:rFonts w:ascii="Arial" w:hAnsi="Arial" w:cs="Arial"/>
          <w:sz w:val="24"/>
          <w:szCs w:val="24"/>
          <w:lang w:val="x-none"/>
        </w:rPr>
        <w:t>predstečajni</w:t>
      </w:r>
      <w:proofErr w:type="spellEnd"/>
      <w:r w:rsidRPr="000F4408">
        <w:rPr>
          <w:rFonts w:ascii="Arial" w:hAnsi="Arial" w:cs="Arial"/>
          <w:sz w:val="24"/>
          <w:szCs w:val="24"/>
          <w:lang w:val="x-none"/>
        </w:rPr>
        <w:t xml:space="preserve"> postupak bude opet otvoren, smatrat će se da su pravne posljedice otvaranja </w:t>
      </w:r>
      <w:proofErr w:type="spellStart"/>
      <w:r w:rsidRPr="000F4408">
        <w:rPr>
          <w:rFonts w:ascii="Arial" w:hAnsi="Arial" w:cs="Arial"/>
          <w:sz w:val="24"/>
          <w:szCs w:val="24"/>
          <w:lang w:val="x-none"/>
        </w:rPr>
        <w:t>predstečajnog</w:t>
      </w:r>
      <w:proofErr w:type="spellEnd"/>
      <w:r w:rsidRPr="000F4408">
        <w:rPr>
          <w:rFonts w:ascii="Arial" w:hAnsi="Arial" w:cs="Arial"/>
          <w:sz w:val="24"/>
          <w:szCs w:val="24"/>
          <w:lang w:val="x-none"/>
        </w:rPr>
        <w:t xml:space="preserve"> postupka nastupile u trenutku objave prvoga rješenja o otvaranju </w:t>
      </w:r>
      <w:proofErr w:type="spellStart"/>
      <w:r w:rsidRPr="000F4408">
        <w:rPr>
          <w:rFonts w:ascii="Arial" w:hAnsi="Arial" w:cs="Arial"/>
          <w:sz w:val="24"/>
          <w:szCs w:val="24"/>
          <w:lang w:val="x-none"/>
        </w:rPr>
        <w:t>predstečajnog</w:t>
      </w:r>
      <w:proofErr w:type="spellEnd"/>
      <w:r w:rsidRPr="000F4408">
        <w:rPr>
          <w:rFonts w:ascii="Arial" w:hAnsi="Arial" w:cs="Arial"/>
          <w:sz w:val="24"/>
          <w:szCs w:val="24"/>
          <w:lang w:val="x-none"/>
        </w:rPr>
        <w:t xml:space="preserve"> postupka</w:t>
      </w:r>
      <w:r w:rsidR="005920CF" w:rsidRPr="000F4408">
        <w:rPr>
          <w:rStyle w:val="Referencafusnote"/>
          <w:rFonts w:ascii="Arial" w:hAnsi="Arial" w:cs="Arial"/>
          <w:sz w:val="24"/>
          <w:szCs w:val="24"/>
          <w:lang w:val="x-none"/>
        </w:rPr>
        <w:footnoteReference w:id="253"/>
      </w:r>
      <w:r w:rsidRPr="000F4408">
        <w:rPr>
          <w:rFonts w:ascii="Arial" w:hAnsi="Arial" w:cs="Arial"/>
          <w:sz w:val="24"/>
          <w:szCs w:val="24"/>
          <w:lang w:val="x-none"/>
        </w:rPr>
        <w:t>.</w:t>
      </w:r>
    </w:p>
    <w:p w:rsidR="00086220" w:rsidRPr="000F4408" w:rsidRDefault="00086220" w:rsidP="00086220">
      <w:pPr>
        <w:autoSpaceDE w:val="0"/>
        <w:autoSpaceDN w:val="0"/>
        <w:adjustRightInd w:val="0"/>
        <w:spacing w:before="120" w:after="120" w:line="240" w:lineRule="auto"/>
        <w:jc w:val="both"/>
        <w:rPr>
          <w:rFonts w:ascii="Arial" w:hAnsi="Arial" w:cs="Arial"/>
          <w:sz w:val="24"/>
          <w:szCs w:val="24"/>
        </w:rPr>
      </w:pPr>
      <w:r w:rsidRPr="000F4408">
        <w:rPr>
          <w:rFonts w:ascii="Arial" w:hAnsi="Arial" w:cs="Arial"/>
          <w:sz w:val="24"/>
          <w:szCs w:val="24"/>
        </w:rPr>
        <w:tab/>
      </w:r>
      <w:r w:rsidRPr="000F4408">
        <w:rPr>
          <w:rFonts w:ascii="Arial" w:hAnsi="Arial" w:cs="Arial"/>
          <w:sz w:val="24"/>
          <w:szCs w:val="24"/>
          <w:lang w:val="x-none"/>
        </w:rPr>
        <w:t xml:space="preserve">Pravne posljedice otvaranja </w:t>
      </w:r>
      <w:proofErr w:type="spellStart"/>
      <w:r w:rsidRPr="000F4408">
        <w:rPr>
          <w:rFonts w:ascii="Arial" w:hAnsi="Arial" w:cs="Arial"/>
          <w:sz w:val="24"/>
          <w:szCs w:val="24"/>
          <w:lang w:val="x-none"/>
        </w:rPr>
        <w:t>predstečajnog</w:t>
      </w:r>
      <w:proofErr w:type="spellEnd"/>
      <w:r w:rsidRPr="000F4408">
        <w:rPr>
          <w:rFonts w:ascii="Arial" w:hAnsi="Arial" w:cs="Arial"/>
          <w:sz w:val="24"/>
          <w:szCs w:val="24"/>
          <w:lang w:val="x-none"/>
        </w:rPr>
        <w:t xml:space="preserve"> postupka nastaju za sve tražbine vjerovnika prema dužniku nastale do otvaranja postupka, ako Zakonom nije drukčije određeno</w:t>
      </w:r>
      <w:r w:rsidR="005920CF" w:rsidRPr="000F4408">
        <w:rPr>
          <w:rStyle w:val="Referencafusnote"/>
          <w:rFonts w:ascii="Arial" w:hAnsi="Arial" w:cs="Arial"/>
          <w:sz w:val="24"/>
          <w:szCs w:val="24"/>
          <w:lang w:val="x-none"/>
        </w:rPr>
        <w:footnoteReference w:id="254"/>
      </w:r>
      <w:r w:rsidRPr="000F4408">
        <w:rPr>
          <w:rFonts w:ascii="Arial" w:hAnsi="Arial" w:cs="Arial"/>
          <w:sz w:val="24"/>
          <w:szCs w:val="24"/>
          <w:lang w:val="x-none"/>
        </w:rPr>
        <w:t>.</w:t>
      </w:r>
      <w:r w:rsidR="00D066A7" w:rsidRPr="000F4408">
        <w:rPr>
          <w:rFonts w:ascii="Arial" w:hAnsi="Arial" w:cs="Arial"/>
          <w:sz w:val="24"/>
          <w:szCs w:val="24"/>
        </w:rPr>
        <w:t xml:space="preserve"> Slijedom toga, svi postupci koji su u tijeku radi ostvarivanja tražbine vjerovnika prekidaju se. Njihov nastavak ovisi o ishodu </w:t>
      </w:r>
      <w:proofErr w:type="spellStart"/>
      <w:r w:rsidR="00D066A7" w:rsidRPr="000F4408">
        <w:rPr>
          <w:rFonts w:ascii="Arial" w:hAnsi="Arial" w:cs="Arial"/>
          <w:sz w:val="24"/>
          <w:szCs w:val="24"/>
        </w:rPr>
        <w:t>predstečajnog</w:t>
      </w:r>
      <w:proofErr w:type="spellEnd"/>
      <w:r w:rsidR="00D066A7" w:rsidRPr="000F4408">
        <w:rPr>
          <w:rFonts w:ascii="Arial" w:hAnsi="Arial" w:cs="Arial"/>
          <w:sz w:val="24"/>
          <w:szCs w:val="24"/>
        </w:rPr>
        <w:t xml:space="preserve"> postupka.</w:t>
      </w:r>
      <w:r w:rsidR="000F4408">
        <w:rPr>
          <w:rFonts w:ascii="Arial" w:hAnsi="Arial" w:cs="Arial"/>
          <w:sz w:val="24"/>
          <w:szCs w:val="24"/>
        </w:rPr>
        <w:t xml:space="preserve"> Ako tražbina povodom koje je tekla parnica bude priznata i utvrđena prije donošenja prvostupanjske presude </w:t>
      </w:r>
      <w:r w:rsidR="00382415">
        <w:rPr>
          <w:rFonts w:ascii="Arial" w:hAnsi="Arial" w:cs="Arial"/>
          <w:sz w:val="24"/>
          <w:szCs w:val="24"/>
        </w:rPr>
        <w:t xml:space="preserve">te se potvrdi </w:t>
      </w:r>
      <w:proofErr w:type="spellStart"/>
      <w:r w:rsidR="00382415">
        <w:rPr>
          <w:rFonts w:ascii="Arial" w:hAnsi="Arial" w:cs="Arial"/>
          <w:sz w:val="24"/>
          <w:szCs w:val="24"/>
        </w:rPr>
        <w:t>predstečajni</w:t>
      </w:r>
      <w:proofErr w:type="spellEnd"/>
      <w:r w:rsidR="00382415">
        <w:rPr>
          <w:rFonts w:ascii="Arial" w:hAnsi="Arial" w:cs="Arial"/>
          <w:sz w:val="24"/>
          <w:szCs w:val="24"/>
        </w:rPr>
        <w:t xml:space="preserve"> sporazum, </w:t>
      </w:r>
      <w:r w:rsidR="000F4408">
        <w:rPr>
          <w:rFonts w:ascii="Arial" w:hAnsi="Arial" w:cs="Arial"/>
          <w:sz w:val="24"/>
          <w:szCs w:val="24"/>
        </w:rPr>
        <w:t xml:space="preserve">sud će </w:t>
      </w:r>
      <w:r w:rsidR="00382415">
        <w:rPr>
          <w:rFonts w:ascii="Arial" w:hAnsi="Arial" w:cs="Arial"/>
          <w:sz w:val="24"/>
          <w:szCs w:val="24"/>
        </w:rPr>
        <w:t xml:space="preserve">u parnicu tužbu odbaciti kao nedopuštenu. Međutim, ako su stranke sklopile </w:t>
      </w:r>
      <w:proofErr w:type="spellStart"/>
      <w:r w:rsidR="00382415">
        <w:rPr>
          <w:rFonts w:ascii="Arial" w:hAnsi="Arial" w:cs="Arial"/>
          <w:sz w:val="24"/>
          <w:szCs w:val="24"/>
        </w:rPr>
        <w:t>predstečajni</w:t>
      </w:r>
      <w:proofErr w:type="spellEnd"/>
      <w:r w:rsidR="00382415">
        <w:rPr>
          <w:rFonts w:ascii="Arial" w:hAnsi="Arial" w:cs="Arial"/>
          <w:sz w:val="24"/>
          <w:szCs w:val="24"/>
        </w:rPr>
        <w:t xml:space="preserve"> sporazuma nakon donošenja prvostupanjske presude, a prije donošenja drugostupanjske odluke u </w:t>
      </w:r>
      <w:r w:rsidR="00382415">
        <w:rPr>
          <w:rFonts w:ascii="Arial" w:hAnsi="Arial" w:cs="Arial"/>
          <w:sz w:val="24"/>
          <w:szCs w:val="24"/>
        </w:rPr>
        <w:lastRenderedPageBreak/>
        <w:t>povodu žalbe, sud će u parnici ukinuti donesenu prvostupanjsku presudu i utvrditi da je tužba povučena, osim ako stranke to pitanje nisu drukčije riješile u tom sporazumu</w:t>
      </w:r>
      <w:r w:rsidR="000F4408">
        <w:rPr>
          <w:rFonts w:ascii="Arial" w:hAnsi="Arial" w:cs="Arial"/>
          <w:sz w:val="24"/>
          <w:szCs w:val="24"/>
        </w:rPr>
        <w:t>.</w:t>
      </w:r>
      <w:r w:rsidR="000F4408">
        <w:rPr>
          <w:rStyle w:val="Referencafusnote"/>
          <w:rFonts w:ascii="Arial" w:hAnsi="Arial" w:cs="Arial"/>
          <w:sz w:val="24"/>
          <w:szCs w:val="24"/>
        </w:rPr>
        <w:footnoteReference w:id="255"/>
      </w:r>
      <w:r w:rsidR="00382415">
        <w:rPr>
          <w:rFonts w:ascii="Arial" w:hAnsi="Arial" w:cs="Arial"/>
          <w:sz w:val="24"/>
          <w:szCs w:val="24"/>
        </w:rPr>
        <w:t xml:space="preserve"> Pitanje troškova postupka </w:t>
      </w:r>
      <w:r w:rsidR="001240B1">
        <w:rPr>
          <w:rFonts w:ascii="Arial" w:hAnsi="Arial" w:cs="Arial"/>
          <w:sz w:val="24"/>
          <w:szCs w:val="24"/>
        </w:rPr>
        <w:t xml:space="preserve">u slučaju odbačaja tužbe ili povlačenja tužbe treba rješavati shodno uspjehu u sporu. Budući da je tražbina priznata u </w:t>
      </w:r>
      <w:proofErr w:type="spellStart"/>
      <w:r w:rsidR="001240B1">
        <w:rPr>
          <w:rFonts w:ascii="Arial" w:hAnsi="Arial" w:cs="Arial"/>
          <w:sz w:val="24"/>
          <w:szCs w:val="24"/>
        </w:rPr>
        <w:t>predstečajnom</w:t>
      </w:r>
      <w:proofErr w:type="spellEnd"/>
      <w:r w:rsidR="001240B1">
        <w:rPr>
          <w:rFonts w:ascii="Arial" w:hAnsi="Arial" w:cs="Arial"/>
          <w:sz w:val="24"/>
          <w:szCs w:val="24"/>
        </w:rPr>
        <w:t xml:space="preserve"> postupku, zaključak je da je ista bila osnovana i da bi vjerovnik uspio u parnici pa bi imao pravo i na trošak postupka. Jedino je sigurno da u tom slučaju tuženik nema pravo na trošak postupka.</w:t>
      </w:r>
      <w:r w:rsidR="001240B1">
        <w:rPr>
          <w:rStyle w:val="Referencafusnote"/>
          <w:rFonts w:ascii="Arial" w:hAnsi="Arial" w:cs="Arial"/>
          <w:sz w:val="24"/>
          <w:szCs w:val="24"/>
        </w:rPr>
        <w:footnoteReference w:id="256"/>
      </w:r>
    </w:p>
    <w:p w:rsidR="00DA400A" w:rsidRDefault="00DA400A" w:rsidP="00086220">
      <w:pPr>
        <w:autoSpaceDE w:val="0"/>
        <w:autoSpaceDN w:val="0"/>
        <w:adjustRightInd w:val="0"/>
        <w:spacing w:before="120" w:after="120" w:line="240" w:lineRule="auto"/>
        <w:jc w:val="both"/>
        <w:rPr>
          <w:rFonts w:ascii="Times New Roman" w:hAnsi="Times New Roman" w:cs="Times New Roman"/>
          <w:sz w:val="24"/>
          <w:szCs w:val="24"/>
        </w:rPr>
      </w:pPr>
    </w:p>
    <w:p w:rsidR="00086220" w:rsidRDefault="00281FC4" w:rsidP="00281FC4">
      <w:pPr>
        <w:pStyle w:val="Naslov2"/>
      </w:pPr>
      <w:bookmarkStart w:id="46" w:name="_Toc507067643"/>
      <w:r>
        <w:t>4.2.</w:t>
      </w:r>
      <w:r w:rsidR="00756FDF" w:rsidRPr="00281FC4">
        <w:t xml:space="preserve"> </w:t>
      </w:r>
      <w:r w:rsidR="00086220" w:rsidRPr="00281FC4">
        <w:t xml:space="preserve">Prava na koja </w:t>
      </w:r>
      <w:proofErr w:type="spellStart"/>
      <w:r w:rsidR="00086220" w:rsidRPr="00281FC4">
        <w:t>predstečajni</w:t>
      </w:r>
      <w:proofErr w:type="spellEnd"/>
      <w:r w:rsidR="00086220" w:rsidRPr="00281FC4">
        <w:t xml:space="preserve"> postupak ne utječe</w:t>
      </w:r>
      <w:bookmarkEnd w:id="46"/>
    </w:p>
    <w:p w:rsidR="00281FC4" w:rsidRPr="00281FC4" w:rsidRDefault="00281FC4" w:rsidP="00281FC4"/>
    <w:p w:rsidR="00086220" w:rsidRPr="001240B1" w:rsidRDefault="00086220" w:rsidP="001240B1">
      <w:pPr>
        <w:pStyle w:val="Bezproreda"/>
        <w:ind w:firstLine="708"/>
      </w:pPr>
      <w:proofErr w:type="spellStart"/>
      <w:r w:rsidRPr="001240B1">
        <w:t>Predstečajni</w:t>
      </w:r>
      <w:proofErr w:type="spellEnd"/>
      <w:r w:rsidRPr="001240B1">
        <w:t xml:space="preserve"> postupak ne utječe na</w:t>
      </w:r>
      <w:r w:rsidR="005920CF" w:rsidRPr="001240B1">
        <w:rPr>
          <w:rStyle w:val="Referencafusnote"/>
          <w:rFonts w:cs="Arial"/>
          <w:szCs w:val="24"/>
          <w:lang w:val="x-none"/>
        </w:rPr>
        <w:footnoteReference w:id="257"/>
      </w:r>
      <w:r w:rsidRPr="001240B1">
        <w:t>:</w:t>
      </w:r>
    </w:p>
    <w:p w:rsidR="00086220" w:rsidRPr="001240B1" w:rsidRDefault="005920CF" w:rsidP="001240B1">
      <w:pPr>
        <w:pStyle w:val="Bezproreda"/>
        <w:ind w:firstLine="708"/>
      </w:pPr>
      <w:r w:rsidRPr="001240B1">
        <w:t xml:space="preserve">- </w:t>
      </w:r>
      <w:r w:rsidR="00086220" w:rsidRPr="001240B1">
        <w:t xml:space="preserve">pravo odvojenoga namirenja </w:t>
      </w:r>
      <w:proofErr w:type="spellStart"/>
      <w:r w:rsidR="00086220" w:rsidRPr="001240B1">
        <w:t>razlučnih</w:t>
      </w:r>
      <w:proofErr w:type="spellEnd"/>
      <w:r w:rsidR="00086220" w:rsidRPr="001240B1">
        <w:t xml:space="preserve"> </w:t>
      </w:r>
      <w:r w:rsidR="009A002C">
        <w:t xml:space="preserve">vjerovnika pa i ako nisu osobni vjerovnici dužnika te </w:t>
      </w:r>
      <w:r w:rsidR="00086220" w:rsidRPr="001240B1">
        <w:t>izlučnih vjerovnika</w:t>
      </w:r>
      <w:r w:rsidRPr="001240B1">
        <w:t>,</w:t>
      </w:r>
    </w:p>
    <w:p w:rsidR="00086220" w:rsidRPr="001240B1" w:rsidRDefault="005920CF" w:rsidP="001240B1">
      <w:pPr>
        <w:pStyle w:val="Bezproreda"/>
        <w:ind w:firstLine="708"/>
      </w:pPr>
      <w:r w:rsidRPr="001240B1">
        <w:t xml:space="preserve">- </w:t>
      </w:r>
      <w:r w:rsidR="00086220" w:rsidRPr="001240B1">
        <w:t>tražbine radnika i prijašnjih dužnikovih radnika iz radnoga odnosa u bruto iznosu, otpremnine do iznosa propisanoga zakonom odnosno kolektivnim ugovorom i tražbine po osnovi naknade štete pretrpljene zbog ozljede na radu ili profesionalne bolesti</w:t>
      </w:r>
      <w:r w:rsidRPr="001240B1">
        <w:t>,</w:t>
      </w:r>
    </w:p>
    <w:p w:rsidR="00086220" w:rsidRPr="001240B1" w:rsidRDefault="005920CF" w:rsidP="001240B1">
      <w:pPr>
        <w:pStyle w:val="Bezproreda"/>
        <w:ind w:firstLine="708"/>
      </w:pPr>
      <w:r w:rsidRPr="001240B1">
        <w:t xml:space="preserve">- </w:t>
      </w:r>
      <w:r w:rsidR="00086220" w:rsidRPr="001240B1">
        <w:t>mjere osiguranja u kaznenom postupku</w:t>
      </w:r>
      <w:r w:rsidRPr="001240B1">
        <w:t>,</w:t>
      </w:r>
    </w:p>
    <w:p w:rsidR="0086580C" w:rsidRDefault="005920CF" w:rsidP="001240B1">
      <w:pPr>
        <w:pStyle w:val="Bezproreda"/>
        <w:ind w:firstLine="708"/>
      </w:pPr>
      <w:r w:rsidRPr="001240B1">
        <w:t xml:space="preserve">- </w:t>
      </w:r>
      <w:r w:rsidR="00086220" w:rsidRPr="001240B1">
        <w:t>porezne postupke utvrđivanja zlouporabe prava</w:t>
      </w:r>
      <w:r w:rsidR="0086580C">
        <w:t>,</w:t>
      </w:r>
    </w:p>
    <w:p w:rsidR="0086580C" w:rsidRDefault="0086580C" w:rsidP="001240B1">
      <w:pPr>
        <w:pStyle w:val="Bezproreda"/>
        <w:ind w:firstLine="708"/>
      </w:pPr>
    </w:p>
    <w:p w:rsidR="00086220" w:rsidRPr="001240B1" w:rsidRDefault="0086580C" w:rsidP="001240B1">
      <w:pPr>
        <w:pStyle w:val="Bezproreda"/>
        <w:ind w:firstLine="708"/>
      </w:pPr>
      <w:r>
        <w:t xml:space="preserve">Otvaranje </w:t>
      </w:r>
      <w:proofErr w:type="spellStart"/>
      <w:r>
        <w:t>predstečajnog</w:t>
      </w:r>
      <w:proofErr w:type="spellEnd"/>
      <w:r>
        <w:t xml:space="preserve"> postupka ne utječe na kvalificirane financijske ugovore na koje se na odgovarajući način primjenjuju odredbe članka 182. stavak 6. i 7. SZ-a.</w:t>
      </w:r>
      <w:r>
        <w:rPr>
          <w:rStyle w:val="Referencafusnote"/>
        </w:rPr>
        <w:footnoteReference w:id="258"/>
      </w:r>
    </w:p>
    <w:p w:rsidR="001240B1" w:rsidRPr="001240B1" w:rsidRDefault="001240B1" w:rsidP="005920CF">
      <w:pPr>
        <w:autoSpaceDE w:val="0"/>
        <w:autoSpaceDN w:val="0"/>
        <w:adjustRightInd w:val="0"/>
        <w:spacing w:before="120" w:after="120" w:line="240" w:lineRule="auto"/>
        <w:ind w:firstLine="705"/>
        <w:jc w:val="both"/>
        <w:rPr>
          <w:rFonts w:ascii="Times New Roman" w:hAnsi="Times New Roman" w:cs="Times New Roman"/>
          <w:sz w:val="24"/>
          <w:szCs w:val="24"/>
        </w:rPr>
      </w:pPr>
    </w:p>
    <w:p w:rsidR="00086220" w:rsidRDefault="00281FC4" w:rsidP="00281FC4">
      <w:pPr>
        <w:pStyle w:val="Naslov2"/>
      </w:pPr>
      <w:bookmarkStart w:id="47" w:name="_Toc507067644"/>
      <w:r>
        <w:t xml:space="preserve">4.3. </w:t>
      </w:r>
      <w:r w:rsidR="00756FDF" w:rsidRPr="00281FC4">
        <w:t xml:space="preserve"> </w:t>
      </w:r>
      <w:r w:rsidR="00086220" w:rsidRPr="00281FC4">
        <w:t xml:space="preserve">Poslovanje dužnika od otvaranja </w:t>
      </w:r>
      <w:proofErr w:type="spellStart"/>
      <w:r w:rsidR="00086220" w:rsidRPr="00281FC4">
        <w:t>predstečajnog</w:t>
      </w:r>
      <w:proofErr w:type="spellEnd"/>
      <w:r w:rsidR="00086220" w:rsidRPr="00281FC4">
        <w:t xml:space="preserve"> postupka</w:t>
      </w:r>
      <w:r w:rsidR="005920CF" w:rsidRPr="003E46E3">
        <w:rPr>
          <w:rStyle w:val="Referencafusnote"/>
          <w:rFonts w:cs="Arial"/>
          <w:b w:val="0"/>
          <w:iCs/>
          <w:sz w:val="24"/>
          <w:szCs w:val="24"/>
          <w:lang w:val="x-none"/>
        </w:rPr>
        <w:footnoteReference w:id="259"/>
      </w:r>
      <w:bookmarkEnd w:id="47"/>
    </w:p>
    <w:p w:rsidR="00281FC4" w:rsidRPr="00281FC4" w:rsidRDefault="00281FC4" w:rsidP="00281FC4"/>
    <w:p w:rsidR="003E46E3" w:rsidRDefault="00086220" w:rsidP="005920CF">
      <w:pPr>
        <w:autoSpaceDE w:val="0"/>
        <w:autoSpaceDN w:val="0"/>
        <w:adjustRightInd w:val="0"/>
        <w:spacing w:before="120" w:after="120" w:line="240" w:lineRule="auto"/>
        <w:ind w:firstLine="708"/>
        <w:jc w:val="both"/>
        <w:rPr>
          <w:rFonts w:ascii="Arial" w:hAnsi="Arial" w:cs="Arial"/>
          <w:sz w:val="24"/>
          <w:szCs w:val="24"/>
        </w:rPr>
      </w:pPr>
      <w:r w:rsidRPr="003E46E3">
        <w:rPr>
          <w:rFonts w:ascii="Arial" w:hAnsi="Arial" w:cs="Arial"/>
          <w:sz w:val="24"/>
          <w:szCs w:val="24"/>
          <w:lang w:val="x-none"/>
        </w:rPr>
        <w:t xml:space="preserve">Od dana otvaranja </w:t>
      </w:r>
      <w:proofErr w:type="spellStart"/>
      <w:r w:rsidRPr="003E46E3">
        <w:rPr>
          <w:rFonts w:ascii="Arial" w:hAnsi="Arial" w:cs="Arial"/>
          <w:sz w:val="24"/>
          <w:szCs w:val="24"/>
          <w:lang w:val="x-none"/>
        </w:rPr>
        <w:t>predstečajnog</w:t>
      </w:r>
      <w:proofErr w:type="spellEnd"/>
      <w:r w:rsidRPr="003E46E3">
        <w:rPr>
          <w:rFonts w:ascii="Arial" w:hAnsi="Arial" w:cs="Arial"/>
          <w:sz w:val="24"/>
          <w:szCs w:val="24"/>
          <w:lang w:val="x-none"/>
        </w:rPr>
        <w:t xml:space="preserve"> postupka do njegova završetka dužnik može obavljati samo plaćanja nužna za redovno poslovanje</w:t>
      </w:r>
      <w:r w:rsidR="003E46E3">
        <w:rPr>
          <w:rFonts w:ascii="Arial" w:hAnsi="Arial" w:cs="Arial"/>
          <w:sz w:val="24"/>
          <w:szCs w:val="24"/>
        </w:rPr>
        <w:t xml:space="preserve"> i ispunjavati obveze iz novog zaduženja koje je preuzeo u skladu s odredbom članka 62.a. SZ-a</w:t>
      </w:r>
      <w:r w:rsidRPr="003E46E3">
        <w:rPr>
          <w:rFonts w:ascii="Arial" w:hAnsi="Arial" w:cs="Arial"/>
          <w:sz w:val="24"/>
          <w:szCs w:val="24"/>
          <w:lang w:val="x-none"/>
        </w:rPr>
        <w:t>.</w:t>
      </w:r>
      <w:r w:rsidR="003E46E3">
        <w:rPr>
          <w:rStyle w:val="Referencafusnote"/>
          <w:rFonts w:ascii="Arial" w:hAnsi="Arial" w:cs="Arial"/>
          <w:sz w:val="24"/>
          <w:szCs w:val="24"/>
          <w:lang w:val="x-none"/>
        </w:rPr>
        <w:footnoteReference w:id="260"/>
      </w:r>
      <w:r w:rsidRPr="003E46E3">
        <w:rPr>
          <w:rFonts w:ascii="Arial" w:hAnsi="Arial" w:cs="Arial"/>
          <w:sz w:val="24"/>
          <w:szCs w:val="24"/>
          <w:lang w:val="x-none"/>
        </w:rPr>
        <w:t xml:space="preserve"> </w:t>
      </w:r>
    </w:p>
    <w:p w:rsidR="00086220" w:rsidRPr="003E46E3" w:rsidRDefault="00086220" w:rsidP="005920CF">
      <w:pPr>
        <w:autoSpaceDE w:val="0"/>
        <w:autoSpaceDN w:val="0"/>
        <w:adjustRightInd w:val="0"/>
        <w:spacing w:before="120" w:after="120" w:line="240" w:lineRule="auto"/>
        <w:ind w:firstLine="708"/>
        <w:jc w:val="both"/>
        <w:rPr>
          <w:rFonts w:ascii="Arial" w:hAnsi="Arial" w:cs="Arial"/>
          <w:sz w:val="24"/>
          <w:szCs w:val="24"/>
          <w:lang w:val="x-none"/>
        </w:rPr>
      </w:pPr>
      <w:r w:rsidRPr="003E46E3">
        <w:rPr>
          <w:rFonts w:ascii="Arial" w:hAnsi="Arial" w:cs="Arial"/>
          <w:sz w:val="24"/>
          <w:szCs w:val="24"/>
        </w:rPr>
        <w:t>D</w:t>
      </w:r>
      <w:proofErr w:type="spellStart"/>
      <w:r w:rsidRPr="003E46E3">
        <w:rPr>
          <w:rFonts w:ascii="Arial" w:hAnsi="Arial" w:cs="Arial"/>
          <w:sz w:val="24"/>
          <w:szCs w:val="24"/>
          <w:lang w:val="x-none"/>
        </w:rPr>
        <w:t>užnik</w:t>
      </w:r>
      <w:proofErr w:type="spellEnd"/>
      <w:r w:rsidRPr="003E46E3">
        <w:rPr>
          <w:rFonts w:ascii="Arial" w:hAnsi="Arial" w:cs="Arial"/>
          <w:sz w:val="24"/>
          <w:szCs w:val="24"/>
          <w:lang w:val="x-none"/>
        </w:rPr>
        <w:t xml:space="preserve"> ne smije ispunjavati obveze nastale i dospjele prije otvaranja </w:t>
      </w:r>
      <w:proofErr w:type="spellStart"/>
      <w:r w:rsidRPr="003E46E3">
        <w:rPr>
          <w:rFonts w:ascii="Arial" w:hAnsi="Arial" w:cs="Arial"/>
          <w:sz w:val="24"/>
          <w:szCs w:val="24"/>
          <w:lang w:val="x-none"/>
        </w:rPr>
        <w:t>predstečajnog</w:t>
      </w:r>
      <w:proofErr w:type="spellEnd"/>
      <w:r w:rsidRPr="003E46E3">
        <w:rPr>
          <w:rFonts w:ascii="Arial" w:hAnsi="Arial" w:cs="Arial"/>
          <w:sz w:val="24"/>
          <w:szCs w:val="24"/>
          <w:lang w:val="x-none"/>
        </w:rPr>
        <w:t xml:space="preserve"> postupka, osim obveza </w:t>
      </w:r>
      <w:r w:rsidRPr="003E46E3">
        <w:rPr>
          <w:rFonts w:ascii="Arial" w:hAnsi="Arial" w:cs="Arial"/>
          <w:sz w:val="24"/>
          <w:szCs w:val="24"/>
        </w:rPr>
        <w:t xml:space="preserve">iz radnog odnosa u bruto iznosu za </w:t>
      </w:r>
      <w:r w:rsidR="00B64A4B" w:rsidRPr="003E46E3">
        <w:rPr>
          <w:rFonts w:ascii="Arial" w:hAnsi="Arial" w:cs="Arial"/>
          <w:sz w:val="24"/>
          <w:szCs w:val="24"/>
        </w:rPr>
        <w:t>r</w:t>
      </w:r>
      <w:r w:rsidRPr="003E46E3">
        <w:rPr>
          <w:rFonts w:ascii="Arial" w:hAnsi="Arial" w:cs="Arial"/>
          <w:sz w:val="24"/>
          <w:szCs w:val="24"/>
        </w:rPr>
        <w:t>adn</w:t>
      </w:r>
      <w:r w:rsidR="00B64A4B" w:rsidRPr="003E46E3">
        <w:rPr>
          <w:rFonts w:ascii="Arial" w:hAnsi="Arial" w:cs="Arial"/>
          <w:sz w:val="24"/>
          <w:szCs w:val="24"/>
        </w:rPr>
        <w:t>i</w:t>
      </w:r>
      <w:r w:rsidRPr="003E46E3">
        <w:rPr>
          <w:rFonts w:ascii="Arial" w:hAnsi="Arial" w:cs="Arial"/>
          <w:sz w:val="24"/>
          <w:szCs w:val="24"/>
        </w:rPr>
        <w:t>ke i prijašnje</w:t>
      </w:r>
      <w:r w:rsidR="00B64A4B" w:rsidRPr="003E46E3">
        <w:rPr>
          <w:rFonts w:ascii="Arial" w:hAnsi="Arial" w:cs="Arial"/>
          <w:sz w:val="24"/>
          <w:szCs w:val="24"/>
        </w:rPr>
        <w:t xml:space="preserve"> dužnikove </w:t>
      </w:r>
      <w:r w:rsidRPr="003E46E3">
        <w:rPr>
          <w:rFonts w:ascii="Arial" w:hAnsi="Arial" w:cs="Arial"/>
          <w:sz w:val="24"/>
          <w:szCs w:val="24"/>
        </w:rPr>
        <w:t xml:space="preserve"> radnike čije su tražbine dospjele do dana otvaranja </w:t>
      </w:r>
      <w:proofErr w:type="spellStart"/>
      <w:r w:rsidRPr="003E46E3">
        <w:rPr>
          <w:rFonts w:ascii="Arial" w:hAnsi="Arial" w:cs="Arial"/>
          <w:sz w:val="24"/>
          <w:szCs w:val="24"/>
        </w:rPr>
        <w:t>predstečajnog</w:t>
      </w:r>
      <w:proofErr w:type="spellEnd"/>
      <w:r w:rsidRPr="003E46E3">
        <w:rPr>
          <w:rFonts w:ascii="Arial" w:hAnsi="Arial" w:cs="Arial"/>
          <w:sz w:val="24"/>
          <w:szCs w:val="24"/>
        </w:rPr>
        <w:t xml:space="preserve"> postupa, otpremnine</w:t>
      </w:r>
      <w:r w:rsidR="00B64A4B" w:rsidRPr="003E46E3">
        <w:rPr>
          <w:rFonts w:ascii="Arial" w:hAnsi="Arial" w:cs="Arial"/>
          <w:sz w:val="24"/>
          <w:szCs w:val="24"/>
        </w:rPr>
        <w:t xml:space="preserve"> do iznosa određenog zakonom ili kolektivnim ugovorom, tražbine po osnovi naknade štete pretrpljene zbog ozljede na radu ili profesionalne bolesti, plaćanja troškova </w:t>
      </w:r>
      <w:proofErr w:type="spellStart"/>
      <w:r w:rsidR="00B64A4B" w:rsidRPr="003E46E3">
        <w:rPr>
          <w:rFonts w:ascii="Arial" w:hAnsi="Arial" w:cs="Arial"/>
          <w:sz w:val="24"/>
          <w:szCs w:val="24"/>
        </w:rPr>
        <w:t>predstečajnog</w:t>
      </w:r>
      <w:proofErr w:type="spellEnd"/>
      <w:r w:rsidR="00B64A4B" w:rsidRPr="003E46E3">
        <w:rPr>
          <w:rFonts w:ascii="Arial" w:hAnsi="Arial" w:cs="Arial"/>
          <w:sz w:val="24"/>
          <w:szCs w:val="24"/>
        </w:rPr>
        <w:t xml:space="preserve"> postupka i druga plaćanja nužna za redovno poslovanje propisana posebnim zakonom</w:t>
      </w:r>
      <w:r w:rsidR="005920CF" w:rsidRPr="003E46E3">
        <w:rPr>
          <w:rFonts w:ascii="Arial" w:hAnsi="Arial" w:cs="Arial"/>
          <w:sz w:val="24"/>
          <w:szCs w:val="24"/>
        </w:rPr>
        <w:t>.</w:t>
      </w:r>
      <w:r w:rsidR="003E46E3">
        <w:rPr>
          <w:rStyle w:val="Referencafusnote"/>
          <w:rFonts w:ascii="Arial" w:hAnsi="Arial" w:cs="Arial"/>
          <w:sz w:val="24"/>
          <w:szCs w:val="24"/>
        </w:rPr>
        <w:footnoteReference w:id="261"/>
      </w:r>
    </w:p>
    <w:p w:rsidR="00086220" w:rsidRPr="003E46E3" w:rsidRDefault="00B64A4B" w:rsidP="00086220">
      <w:pPr>
        <w:autoSpaceDE w:val="0"/>
        <w:autoSpaceDN w:val="0"/>
        <w:adjustRightInd w:val="0"/>
        <w:spacing w:before="120" w:after="120" w:line="240" w:lineRule="auto"/>
        <w:jc w:val="both"/>
        <w:rPr>
          <w:rFonts w:ascii="Arial" w:hAnsi="Arial" w:cs="Arial"/>
          <w:sz w:val="24"/>
          <w:szCs w:val="24"/>
        </w:rPr>
      </w:pPr>
      <w:r>
        <w:rPr>
          <w:rFonts w:ascii="Times New Roman" w:hAnsi="Times New Roman" w:cs="Times New Roman"/>
          <w:sz w:val="24"/>
          <w:szCs w:val="24"/>
        </w:rPr>
        <w:tab/>
      </w:r>
      <w:r w:rsidRPr="003E46E3">
        <w:rPr>
          <w:rFonts w:ascii="Arial" w:hAnsi="Arial" w:cs="Arial"/>
          <w:sz w:val="24"/>
          <w:szCs w:val="24"/>
          <w:lang w:val="x-none"/>
        </w:rPr>
        <w:t>Pravne</w:t>
      </w:r>
      <w:r w:rsidRPr="003E46E3">
        <w:rPr>
          <w:rFonts w:ascii="Arial" w:hAnsi="Arial" w:cs="Arial"/>
          <w:sz w:val="24"/>
          <w:szCs w:val="24"/>
        </w:rPr>
        <w:t xml:space="preserve"> poslove </w:t>
      </w:r>
      <w:r w:rsidRPr="003E46E3">
        <w:rPr>
          <w:rFonts w:ascii="Arial" w:hAnsi="Arial" w:cs="Arial"/>
          <w:sz w:val="24"/>
          <w:szCs w:val="24"/>
          <w:lang w:val="x-none"/>
        </w:rPr>
        <w:t>otuđ</w:t>
      </w:r>
      <w:r w:rsidRPr="003E46E3">
        <w:rPr>
          <w:rFonts w:ascii="Arial" w:hAnsi="Arial" w:cs="Arial"/>
          <w:sz w:val="24"/>
          <w:szCs w:val="24"/>
        </w:rPr>
        <w:t>enja i</w:t>
      </w:r>
      <w:r w:rsidRPr="003E46E3">
        <w:rPr>
          <w:rFonts w:ascii="Arial" w:hAnsi="Arial" w:cs="Arial"/>
          <w:sz w:val="24"/>
          <w:szCs w:val="24"/>
          <w:lang w:val="x-none"/>
        </w:rPr>
        <w:t xml:space="preserve"> opterećiva</w:t>
      </w:r>
      <w:r w:rsidRPr="003E46E3">
        <w:rPr>
          <w:rFonts w:ascii="Arial" w:hAnsi="Arial" w:cs="Arial"/>
          <w:sz w:val="24"/>
          <w:szCs w:val="24"/>
        </w:rPr>
        <w:t xml:space="preserve">nja </w:t>
      </w:r>
      <w:r w:rsidRPr="003E46E3">
        <w:rPr>
          <w:rFonts w:ascii="Arial" w:hAnsi="Arial" w:cs="Arial"/>
          <w:sz w:val="24"/>
          <w:szCs w:val="24"/>
          <w:lang w:val="x-none"/>
        </w:rPr>
        <w:t>svoj</w:t>
      </w:r>
      <w:r w:rsidRPr="003E46E3">
        <w:rPr>
          <w:rFonts w:ascii="Arial" w:hAnsi="Arial" w:cs="Arial"/>
          <w:sz w:val="24"/>
          <w:szCs w:val="24"/>
        </w:rPr>
        <w:t>e</w:t>
      </w:r>
      <w:r w:rsidRPr="003E46E3">
        <w:rPr>
          <w:rFonts w:ascii="Arial" w:hAnsi="Arial" w:cs="Arial"/>
          <w:sz w:val="24"/>
          <w:szCs w:val="24"/>
          <w:lang w:val="x-none"/>
        </w:rPr>
        <w:t xml:space="preserve"> imovin</w:t>
      </w:r>
      <w:r w:rsidRPr="003E46E3">
        <w:rPr>
          <w:rFonts w:ascii="Arial" w:hAnsi="Arial" w:cs="Arial"/>
          <w:sz w:val="24"/>
          <w:szCs w:val="24"/>
        </w:rPr>
        <w:t xml:space="preserve">e </w:t>
      </w:r>
      <w:proofErr w:type="spellStart"/>
      <w:r w:rsidRPr="003E46E3">
        <w:rPr>
          <w:rFonts w:ascii="Arial" w:hAnsi="Arial" w:cs="Arial"/>
          <w:sz w:val="24"/>
          <w:szCs w:val="24"/>
        </w:rPr>
        <w:t>du</w:t>
      </w:r>
      <w:r w:rsidR="00086220" w:rsidRPr="003E46E3">
        <w:rPr>
          <w:rFonts w:ascii="Arial" w:hAnsi="Arial" w:cs="Arial"/>
          <w:sz w:val="24"/>
          <w:szCs w:val="24"/>
          <w:lang w:val="x-none"/>
        </w:rPr>
        <w:t>žnik</w:t>
      </w:r>
      <w:proofErr w:type="spellEnd"/>
      <w:r w:rsidR="00086220" w:rsidRPr="003E46E3">
        <w:rPr>
          <w:rFonts w:ascii="Arial" w:hAnsi="Arial" w:cs="Arial"/>
          <w:sz w:val="24"/>
          <w:szCs w:val="24"/>
          <w:lang w:val="x-none"/>
        </w:rPr>
        <w:t xml:space="preserve"> može poduzimati samo na temelju prethodnoga odobrenja povjerenika ili sud</w:t>
      </w:r>
      <w:r w:rsidRPr="003E46E3">
        <w:rPr>
          <w:rFonts w:ascii="Arial" w:hAnsi="Arial" w:cs="Arial"/>
          <w:sz w:val="24"/>
          <w:szCs w:val="24"/>
          <w:lang w:val="x-none"/>
        </w:rPr>
        <w:t>a ako povjerenik nije imenovan.</w:t>
      </w:r>
      <w:r w:rsidR="003E46E3">
        <w:rPr>
          <w:rStyle w:val="Referencafusnote"/>
          <w:rFonts w:ascii="Arial" w:hAnsi="Arial" w:cs="Arial"/>
          <w:sz w:val="24"/>
          <w:szCs w:val="24"/>
          <w:lang w:val="x-none"/>
        </w:rPr>
        <w:footnoteReference w:id="262"/>
      </w:r>
      <w:r w:rsidRPr="003E46E3">
        <w:rPr>
          <w:rFonts w:ascii="Arial" w:hAnsi="Arial" w:cs="Arial"/>
          <w:sz w:val="24"/>
          <w:szCs w:val="24"/>
        </w:rPr>
        <w:t xml:space="preserve"> </w:t>
      </w:r>
      <w:r w:rsidR="00086220" w:rsidRPr="003E46E3">
        <w:rPr>
          <w:rFonts w:ascii="Arial" w:hAnsi="Arial" w:cs="Arial"/>
          <w:sz w:val="24"/>
          <w:szCs w:val="24"/>
          <w:lang w:val="x-none"/>
        </w:rPr>
        <w:t xml:space="preserve">Pravni poslovi </w:t>
      </w:r>
      <w:r w:rsidRPr="003E46E3">
        <w:rPr>
          <w:rFonts w:ascii="Arial" w:hAnsi="Arial" w:cs="Arial"/>
          <w:sz w:val="24"/>
          <w:szCs w:val="24"/>
          <w:lang w:val="x-none"/>
        </w:rPr>
        <w:t xml:space="preserve">koje je dužnik poduzeo </w:t>
      </w:r>
      <w:r w:rsidRPr="003E46E3">
        <w:rPr>
          <w:rFonts w:ascii="Arial" w:hAnsi="Arial" w:cs="Arial"/>
          <w:sz w:val="24"/>
          <w:szCs w:val="24"/>
        </w:rPr>
        <w:t>bez odobrenja</w:t>
      </w:r>
      <w:r w:rsidR="00086220" w:rsidRPr="003E46E3">
        <w:rPr>
          <w:rFonts w:ascii="Arial" w:hAnsi="Arial" w:cs="Arial"/>
          <w:sz w:val="24"/>
          <w:szCs w:val="24"/>
          <w:lang w:val="x-none"/>
        </w:rPr>
        <w:t xml:space="preserve"> nemaju pravni učinak prema vjerovnicima ako je treća osoba znala ili morala znati da poduzeti pravni posao prelazi okvire redovnoga poslovanja </w:t>
      </w:r>
      <w:r w:rsidR="00086220" w:rsidRPr="003E46E3">
        <w:rPr>
          <w:rFonts w:ascii="Arial" w:hAnsi="Arial" w:cs="Arial"/>
          <w:sz w:val="24"/>
          <w:szCs w:val="24"/>
          <w:lang w:val="x-none"/>
        </w:rPr>
        <w:lastRenderedPageBreak/>
        <w:t>dužnika i da njegovo poduzimanje nije odobrio povjerenik ili sud ako povjerenik nije imenovan.</w:t>
      </w:r>
      <w:r w:rsidR="003E46E3">
        <w:rPr>
          <w:rStyle w:val="Referencafusnote"/>
          <w:rFonts w:ascii="Arial" w:hAnsi="Arial" w:cs="Arial"/>
          <w:sz w:val="24"/>
          <w:szCs w:val="24"/>
          <w:lang w:val="x-none"/>
        </w:rPr>
        <w:footnoteReference w:id="263"/>
      </w:r>
      <w:r w:rsidR="005920CF" w:rsidRPr="003E46E3">
        <w:rPr>
          <w:rFonts w:ascii="Arial" w:hAnsi="Arial" w:cs="Arial"/>
          <w:sz w:val="24"/>
          <w:szCs w:val="24"/>
        </w:rPr>
        <w:t xml:space="preserve"> Ako dužnik u tijelu postupka postupa protivno </w:t>
      </w:r>
      <w:r w:rsidR="00C64B2E" w:rsidRPr="003E46E3">
        <w:rPr>
          <w:rFonts w:ascii="Arial" w:hAnsi="Arial" w:cs="Arial"/>
          <w:sz w:val="24"/>
          <w:szCs w:val="24"/>
        </w:rPr>
        <w:t>odredbi čl. 67. SZ-a sud će rješenjem obustaviti postupak</w:t>
      </w:r>
      <w:r w:rsidR="00C64B2E" w:rsidRPr="003E46E3">
        <w:rPr>
          <w:rStyle w:val="Referencafusnote"/>
          <w:rFonts w:ascii="Arial" w:hAnsi="Arial" w:cs="Arial"/>
          <w:sz w:val="24"/>
          <w:szCs w:val="24"/>
        </w:rPr>
        <w:footnoteReference w:id="264"/>
      </w:r>
      <w:r w:rsidR="00C64B2E" w:rsidRPr="003E46E3">
        <w:rPr>
          <w:rFonts w:ascii="Arial" w:hAnsi="Arial" w:cs="Arial"/>
          <w:sz w:val="24"/>
          <w:szCs w:val="24"/>
        </w:rPr>
        <w:t>.</w:t>
      </w:r>
    </w:p>
    <w:p w:rsidR="00B64A4B" w:rsidRDefault="00B64A4B" w:rsidP="00B64A4B">
      <w:pPr>
        <w:autoSpaceDE w:val="0"/>
        <w:autoSpaceDN w:val="0"/>
        <w:adjustRightInd w:val="0"/>
        <w:spacing w:before="120" w:after="120" w:line="240" w:lineRule="auto"/>
        <w:jc w:val="both"/>
        <w:rPr>
          <w:rFonts w:ascii="Arial" w:hAnsi="Arial" w:cs="Arial"/>
          <w:sz w:val="24"/>
          <w:szCs w:val="24"/>
        </w:rPr>
      </w:pPr>
      <w:r>
        <w:rPr>
          <w:rFonts w:ascii="Times New Roman" w:hAnsi="Times New Roman" w:cs="Times New Roman"/>
          <w:sz w:val="24"/>
          <w:szCs w:val="24"/>
        </w:rPr>
        <w:tab/>
      </w:r>
      <w:r w:rsidR="00086220" w:rsidRPr="003E46E3">
        <w:rPr>
          <w:rFonts w:ascii="Arial" w:hAnsi="Arial" w:cs="Arial"/>
          <w:sz w:val="24"/>
          <w:szCs w:val="24"/>
          <w:lang w:val="x-none"/>
        </w:rPr>
        <w:t xml:space="preserve">Mjenice i čekovi te drugi nalozi za plaćanje izdani prije otvaranja </w:t>
      </w:r>
      <w:proofErr w:type="spellStart"/>
      <w:r w:rsidR="00086220" w:rsidRPr="003E46E3">
        <w:rPr>
          <w:rFonts w:ascii="Arial" w:hAnsi="Arial" w:cs="Arial"/>
          <w:sz w:val="24"/>
          <w:szCs w:val="24"/>
          <w:lang w:val="x-none"/>
        </w:rPr>
        <w:t>predstečajnog</w:t>
      </w:r>
      <w:proofErr w:type="spellEnd"/>
      <w:r w:rsidR="00086220" w:rsidRPr="003E46E3">
        <w:rPr>
          <w:rFonts w:ascii="Arial" w:hAnsi="Arial" w:cs="Arial"/>
          <w:sz w:val="24"/>
          <w:szCs w:val="24"/>
          <w:lang w:val="x-none"/>
        </w:rPr>
        <w:t xml:space="preserve"> postupka ne naplaćuju se na teret računa dužnika za vrijeme trajanja postupka, ali je dopušteno prezentiranje mjenica, s tim da će se na mjenici utvrditi datum (dan) prezentiranja i izdati potvrda da po mjenici nije plaćeno zato što je nad dužnikom</w:t>
      </w:r>
      <w:r w:rsidRPr="003E46E3">
        <w:rPr>
          <w:rFonts w:ascii="Arial" w:hAnsi="Arial" w:cs="Arial"/>
          <w:sz w:val="24"/>
          <w:szCs w:val="24"/>
          <w:lang w:val="x-none"/>
        </w:rPr>
        <w:t xml:space="preserve"> otvoren </w:t>
      </w:r>
      <w:proofErr w:type="spellStart"/>
      <w:r w:rsidRPr="003E46E3">
        <w:rPr>
          <w:rFonts w:ascii="Arial" w:hAnsi="Arial" w:cs="Arial"/>
          <w:sz w:val="24"/>
          <w:szCs w:val="24"/>
          <w:lang w:val="x-none"/>
        </w:rPr>
        <w:t>predstečajni</w:t>
      </w:r>
      <w:proofErr w:type="spellEnd"/>
      <w:r w:rsidRPr="003E46E3">
        <w:rPr>
          <w:rFonts w:ascii="Arial" w:hAnsi="Arial" w:cs="Arial"/>
          <w:sz w:val="24"/>
          <w:szCs w:val="24"/>
          <w:lang w:val="x-none"/>
        </w:rPr>
        <w:t xml:space="preserve"> postupak.</w:t>
      </w:r>
      <w:r w:rsidR="003E46E3" w:rsidRPr="003E46E3">
        <w:rPr>
          <w:rStyle w:val="Referencafusnote"/>
          <w:rFonts w:ascii="Arial" w:hAnsi="Arial" w:cs="Arial"/>
          <w:sz w:val="24"/>
          <w:szCs w:val="24"/>
        </w:rPr>
        <w:footnoteReference w:id="265"/>
      </w:r>
    </w:p>
    <w:p w:rsidR="00281FC4" w:rsidRPr="00281FC4" w:rsidRDefault="00281FC4" w:rsidP="00B64A4B">
      <w:pPr>
        <w:autoSpaceDE w:val="0"/>
        <w:autoSpaceDN w:val="0"/>
        <w:adjustRightInd w:val="0"/>
        <w:spacing w:before="120" w:after="120" w:line="240" w:lineRule="auto"/>
        <w:jc w:val="both"/>
        <w:rPr>
          <w:rFonts w:ascii="Arial" w:hAnsi="Arial" w:cs="Arial"/>
          <w:sz w:val="24"/>
          <w:szCs w:val="24"/>
        </w:rPr>
      </w:pPr>
    </w:p>
    <w:p w:rsidR="000F6E93" w:rsidRDefault="00281FC4" w:rsidP="00281FC4">
      <w:pPr>
        <w:pStyle w:val="Naslov2"/>
      </w:pPr>
      <w:bookmarkStart w:id="48" w:name="_Toc507067645"/>
      <w:r>
        <w:t>4.4.</w:t>
      </w:r>
      <w:r w:rsidR="000F6E93" w:rsidRPr="000F6E93">
        <w:t xml:space="preserve"> Preuzimanje novog zaduženja u novcu radi privremenog financiranja</w:t>
      </w:r>
      <w:r w:rsidR="000F6E93">
        <w:rPr>
          <w:rStyle w:val="Referencafusnote"/>
          <w:rFonts w:cs="Arial"/>
          <w:b w:val="0"/>
        </w:rPr>
        <w:footnoteReference w:id="266"/>
      </w:r>
      <w:bookmarkEnd w:id="48"/>
    </w:p>
    <w:p w:rsidR="00281FC4" w:rsidRPr="00281FC4" w:rsidRDefault="00281FC4" w:rsidP="00281FC4"/>
    <w:p w:rsidR="000F6E93" w:rsidRDefault="000F6E93" w:rsidP="000F6E93">
      <w:pPr>
        <w:pStyle w:val="Bezproreda"/>
        <w:ind w:firstLine="708"/>
        <w:jc w:val="both"/>
      </w:pPr>
      <w:r w:rsidRPr="000F6E93">
        <w:t>Dužnik može uz suglasnost vjerovnika koji zajedno imaju više od dvije trećine pravomoćno utvrđenih tražbina preuzeti novo zaduženje u novcu radi privremenog financiranja nastalog da bi se osigurao kontinuitet p</w:t>
      </w:r>
      <w:r>
        <w:t xml:space="preserve">oslovanja tijekom </w:t>
      </w:r>
      <w:proofErr w:type="spellStart"/>
      <w:r>
        <w:t>predstečajnog</w:t>
      </w:r>
      <w:proofErr w:type="spellEnd"/>
      <w:r w:rsidRPr="000F6E93">
        <w:t xml:space="preserve"> postupka.</w:t>
      </w:r>
      <w:r>
        <w:t xml:space="preserve"> Vjerovnici s</w:t>
      </w:r>
      <w:r w:rsidRPr="000F6E93">
        <w:t>uglasnost daj</w:t>
      </w:r>
      <w:r>
        <w:t>u</w:t>
      </w:r>
      <w:r w:rsidRPr="000F6E93">
        <w:t xml:space="preserve">  pismeno najkasnije na ročištu za glasovanje o planu restrukturiranja.</w:t>
      </w:r>
    </w:p>
    <w:p w:rsidR="000F6E93" w:rsidRPr="000F6E93" w:rsidRDefault="000F6E93" w:rsidP="000F6E93">
      <w:pPr>
        <w:pStyle w:val="Bezproreda"/>
        <w:ind w:firstLine="708"/>
        <w:jc w:val="both"/>
      </w:pPr>
    </w:p>
    <w:p w:rsidR="000F6E93" w:rsidRPr="000F6E93" w:rsidRDefault="000F6E93" w:rsidP="000F6E93">
      <w:pPr>
        <w:pStyle w:val="Bezproreda"/>
        <w:ind w:firstLine="708"/>
        <w:jc w:val="both"/>
      </w:pPr>
      <w:r w:rsidRPr="000F6E93">
        <w:t xml:space="preserve">U slučaju </w:t>
      </w:r>
      <w:r>
        <w:t>preuzimanja novog zaduženja uz suglasnost vjerovnika</w:t>
      </w:r>
      <w:r w:rsidRPr="000F6E93">
        <w:t>, sud će u roku od tri dana od dana kada mu je dužnik dostavio suglasnost potrebnoga broja vjerovnika rješenjem utvrditi da je dužniku dana suglasnost za preuzimanje novog zaduženja u novcu radi privremenog financiranja.</w:t>
      </w:r>
      <w:r>
        <w:t xml:space="preserve"> U r</w:t>
      </w:r>
      <w:r w:rsidRPr="000F6E93">
        <w:t>ješenj</w:t>
      </w:r>
      <w:r>
        <w:t>u</w:t>
      </w:r>
      <w:r w:rsidRPr="000F6E93">
        <w:t xml:space="preserve"> će </w:t>
      </w:r>
      <w:r>
        <w:t xml:space="preserve">sud </w:t>
      </w:r>
      <w:r w:rsidRPr="000F6E93">
        <w:t>utvrditi iznose i uvjete novog zaduženja te rokove u kojima će se namirivati tražbine iz novoga zaduženja.</w:t>
      </w:r>
      <w:r>
        <w:t xml:space="preserve"> </w:t>
      </w:r>
      <w:r w:rsidRPr="000F6E93">
        <w:t xml:space="preserve">Rješenje će </w:t>
      </w:r>
      <w:r>
        <w:t xml:space="preserve">sud </w:t>
      </w:r>
      <w:r w:rsidRPr="000F6E93">
        <w:t>bez odgode objaviti na mrežnoj stranici e-Oglasna ploča sudova. Protiv toga rješenja nije dopuštena posebna žalba.</w:t>
      </w:r>
    </w:p>
    <w:p w:rsidR="000F6E93" w:rsidRDefault="000F6E93" w:rsidP="000F6E93">
      <w:pPr>
        <w:pStyle w:val="Bezproreda"/>
        <w:jc w:val="both"/>
      </w:pPr>
    </w:p>
    <w:p w:rsidR="000F6E93" w:rsidRDefault="000F6E93" w:rsidP="000F6E93">
      <w:pPr>
        <w:pStyle w:val="Bezproreda"/>
        <w:ind w:firstLine="708"/>
        <w:jc w:val="both"/>
      </w:pPr>
      <w:r w:rsidRPr="000F6E93">
        <w:t>Ako se nad dužnikom otvori stečajni postupak, tražbine vjerovnika koji su dužniku dali novčana sredstva za novo zaduženje u skladu s odredbama ovoga članka namirit će se do iznosa novoga zaduženja prije ostalih stečajnih vjerovnika, osim vjerovnika prvoga višega isplatnog reda.</w:t>
      </w:r>
    </w:p>
    <w:p w:rsidR="000F6E93" w:rsidRPr="000F6E93" w:rsidRDefault="000F6E93" w:rsidP="000F6E93">
      <w:pPr>
        <w:pStyle w:val="Bezproreda"/>
        <w:ind w:firstLine="708"/>
        <w:jc w:val="both"/>
      </w:pPr>
    </w:p>
    <w:p w:rsidR="000F6E93" w:rsidRPr="000F6E93" w:rsidRDefault="000F6E93" w:rsidP="000F6E93">
      <w:pPr>
        <w:pStyle w:val="Bezproreda"/>
        <w:ind w:firstLine="708"/>
        <w:jc w:val="both"/>
      </w:pPr>
      <w:r w:rsidRPr="000F6E93">
        <w:t>Pravne radnje poduzete radi preuzimanja novoga zaduženja iz stavka 1. ovoga članka neće se smatrati pravnim radnjama kojima se remeti pravo na ujednačeno namirenje vjerovnika, odnosno kojima bi se pojedini vjerovnici stavljali u povoljniji položaj.</w:t>
      </w:r>
    </w:p>
    <w:p w:rsidR="003E46E3" w:rsidRPr="003E46E3" w:rsidRDefault="003E46E3" w:rsidP="00B64A4B">
      <w:pPr>
        <w:autoSpaceDE w:val="0"/>
        <w:autoSpaceDN w:val="0"/>
        <w:adjustRightInd w:val="0"/>
        <w:spacing w:before="120" w:after="120" w:line="240" w:lineRule="auto"/>
        <w:jc w:val="both"/>
        <w:rPr>
          <w:rFonts w:ascii="Arial" w:hAnsi="Arial" w:cs="Arial"/>
          <w:sz w:val="24"/>
          <w:szCs w:val="24"/>
        </w:rPr>
      </w:pPr>
    </w:p>
    <w:p w:rsidR="00086220" w:rsidRDefault="00281FC4" w:rsidP="00281FC4">
      <w:pPr>
        <w:pStyle w:val="Naslov2"/>
      </w:pPr>
      <w:bookmarkStart w:id="49" w:name="_Toc507067646"/>
      <w:r>
        <w:t>4.5.</w:t>
      </w:r>
      <w:r w:rsidR="00756FDF" w:rsidRPr="00281FC4">
        <w:t xml:space="preserve"> </w:t>
      </w:r>
      <w:r w:rsidR="00086220" w:rsidRPr="00281FC4">
        <w:t>Zabrana pokretanja i vođenja parničnih, ovršnih, upravnih i postupaka osiguranja</w:t>
      </w:r>
      <w:r w:rsidR="00C64B2E" w:rsidRPr="003E46E3">
        <w:rPr>
          <w:rStyle w:val="Referencafusnote"/>
          <w:rFonts w:cs="Arial"/>
          <w:b w:val="0"/>
          <w:i/>
          <w:iCs/>
          <w:sz w:val="24"/>
          <w:szCs w:val="24"/>
          <w:lang w:val="x-none"/>
        </w:rPr>
        <w:footnoteReference w:id="267"/>
      </w:r>
      <w:bookmarkEnd w:id="49"/>
    </w:p>
    <w:p w:rsidR="00281FC4" w:rsidRPr="00281FC4" w:rsidRDefault="00281FC4" w:rsidP="00281FC4"/>
    <w:p w:rsidR="00B64A4B" w:rsidRPr="003E46E3" w:rsidRDefault="00086220" w:rsidP="00C64B2E">
      <w:pPr>
        <w:autoSpaceDE w:val="0"/>
        <w:autoSpaceDN w:val="0"/>
        <w:adjustRightInd w:val="0"/>
        <w:spacing w:before="120" w:after="120" w:line="240" w:lineRule="auto"/>
        <w:ind w:firstLine="708"/>
        <w:jc w:val="both"/>
        <w:rPr>
          <w:rFonts w:ascii="Arial" w:hAnsi="Arial" w:cs="Arial"/>
          <w:sz w:val="24"/>
          <w:szCs w:val="24"/>
        </w:rPr>
      </w:pPr>
      <w:r w:rsidRPr="003E46E3">
        <w:rPr>
          <w:rFonts w:ascii="Arial" w:hAnsi="Arial" w:cs="Arial"/>
          <w:sz w:val="24"/>
          <w:szCs w:val="24"/>
          <w:lang w:val="x-none"/>
        </w:rPr>
        <w:t xml:space="preserve">Od dana otvaranja </w:t>
      </w:r>
      <w:proofErr w:type="spellStart"/>
      <w:r w:rsidRPr="003E46E3">
        <w:rPr>
          <w:rFonts w:ascii="Arial" w:hAnsi="Arial" w:cs="Arial"/>
          <w:sz w:val="24"/>
          <w:szCs w:val="24"/>
          <w:lang w:val="x-none"/>
        </w:rPr>
        <w:t>predstečajnog</w:t>
      </w:r>
      <w:proofErr w:type="spellEnd"/>
      <w:r w:rsidRPr="003E46E3">
        <w:rPr>
          <w:rFonts w:ascii="Arial" w:hAnsi="Arial" w:cs="Arial"/>
          <w:sz w:val="24"/>
          <w:szCs w:val="24"/>
          <w:lang w:val="x-none"/>
        </w:rPr>
        <w:t xml:space="preserve"> postupka do njegova završetka nije dopušteno pokretanje parničnih, ovršnih, upravnih i postupaka osiguranja protiv dužnika. </w:t>
      </w:r>
    </w:p>
    <w:p w:rsidR="00086220" w:rsidRPr="003E46E3" w:rsidRDefault="00B64A4B" w:rsidP="00086220">
      <w:pPr>
        <w:autoSpaceDE w:val="0"/>
        <w:autoSpaceDN w:val="0"/>
        <w:adjustRightInd w:val="0"/>
        <w:spacing w:before="120" w:after="120" w:line="240" w:lineRule="auto"/>
        <w:jc w:val="both"/>
        <w:rPr>
          <w:rFonts w:ascii="Arial" w:hAnsi="Arial" w:cs="Arial"/>
          <w:sz w:val="24"/>
          <w:szCs w:val="24"/>
          <w:lang w:val="x-none"/>
        </w:rPr>
      </w:pPr>
      <w:r w:rsidRPr="003E46E3">
        <w:rPr>
          <w:rFonts w:ascii="Arial" w:hAnsi="Arial" w:cs="Arial"/>
          <w:sz w:val="24"/>
          <w:szCs w:val="24"/>
        </w:rPr>
        <w:tab/>
        <w:t>Ako su postupci pok</w:t>
      </w:r>
      <w:r w:rsidR="00C64B2E" w:rsidRPr="003E46E3">
        <w:rPr>
          <w:rFonts w:ascii="Arial" w:hAnsi="Arial" w:cs="Arial"/>
          <w:sz w:val="24"/>
          <w:szCs w:val="24"/>
        </w:rPr>
        <w:t>r</w:t>
      </w:r>
      <w:r w:rsidRPr="003E46E3">
        <w:rPr>
          <w:rFonts w:ascii="Arial" w:hAnsi="Arial" w:cs="Arial"/>
          <w:sz w:val="24"/>
          <w:szCs w:val="24"/>
        </w:rPr>
        <w:t xml:space="preserve">enuti prije otvaranje </w:t>
      </w:r>
      <w:proofErr w:type="spellStart"/>
      <w:r w:rsidRPr="003E46E3">
        <w:rPr>
          <w:rFonts w:ascii="Arial" w:hAnsi="Arial" w:cs="Arial"/>
          <w:sz w:val="24"/>
          <w:szCs w:val="24"/>
        </w:rPr>
        <w:t>predstečajnog</w:t>
      </w:r>
      <w:proofErr w:type="spellEnd"/>
      <w:r w:rsidRPr="003E46E3">
        <w:rPr>
          <w:rFonts w:ascii="Arial" w:hAnsi="Arial" w:cs="Arial"/>
          <w:sz w:val="24"/>
          <w:szCs w:val="24"/>
        </w:rPr>
        <w:t xml:space="preserve"> post</w:t>
      </w:r>
      <w:r w:rsidR="00C64B2E" w:rsidRPr="003E46E3">
        <w:rPr>
          <w:rFonts w:ascii="Arial" w:hAnsi="Arial" w:cs="Arial"/>
          <w:sz w:val="24"/>
          <w:szCs w:val="24"/>
        </w:rPr>
        <w:t>u</w:t>
      </w:r>
      <w:r w:rsidRPr="003E46E3">
        <w:rPr>
          <w:rFonts w:ascii="Arial" w:hAnsi="Arial" w:cs="Arial"/>
          <w:sz w:val="24"/>
          <w:szCs w:val="24"/>
        </w:rPr>
        <w:t xml:space="preserve">pka i u tijeku su, </w:t>
      </w:r>
      <w:r w:rsidR="00086220" w:rsidRPr="003E46E3">
        <w:rPr>
          <w:rFonts w:ascii="Arial" w:hAnsi="Arial" w:cs="Arial"/>
          <w:sz w:val="24"/>
          <w:szCs w:val="24"/>
          <w:lang w:val="x-none"/>
        </w:rPr>
        <w:t>prekidaju s</w:t>
      </w:r>
      <w:r w:rsidR="003E46E3">
        <w:rPr>
          <w:rFonts w:ascii="Arial" w:hAnsi="Arial" w:cs="Arial"/>
          <w:sz w:val="24"/>
          <w:szCs w:val="24"/>
          <w:lang w:val="x-none"/>
        </w:rPr>
        <w:t xml:space="preserve">e danom otvaranja </w:t>
      </w:r>
      <w:proofErr w:type="spellStart"/>
      <w:r w:rsidR="003E46E3">
        <w:rPr>
          <w:rFonts w:ascii="Arial" w:hAnsi="Arial" w:cs="Arial"/>
          <w:sz w:val="24"/>
          <w:szCs w:val="24"/>
          <w:lang w:val="x-none"/>
        </w:rPr>
        <w:t>predstečajnog</w:t>
      </w:r>
      <w:proofErr w:type="spellEnd"/>
      <w:r w:rsidR="00086220" w:rsidRPr="003E46E3">
        <w:rPr>
          <w:rFonts w:ascii="Arial" w:hAnsi="Arial" w:cs="Arial"/>
          <w:sz w:val="24"/>
          <w:szCs w:val="24"/>
          <w:lang w:val="x-none"/>
        </w:rPr>
        <w:t xml:space="preserve"> postupka. Prekinuti postupci </w:t>
      </w:r>
      <w:r w:rsidRPr="003E46E3">
        <w:rPr>
          <w:rFonts w:ascii="Arial" w:hAnsi="Arial" w:cs="Arial"/>
          <w:sz w:val="24"/>
          <w:szCs w:val="24"/>
        </w:rPr>
        <w:t xml:space="preserve">će se </w:t>
      </w:r>
      <w:r w:rsidRPr="003E46E3">
        <w:rPr>
          <w:rFonts w:ascii="Arial" w:hAnsi="Arial" w:cs="Arial"/>
          <w:sz w:val="24"/>
          <w:szCs w:val="24"/>
          <w:lang w:val="x-none"/>
        </w:rPr>
        <w:t xml:space="preserve">nastavit </w:t>
      </w:r>
      <w:r w:rsidR="00086220" w:rsidRPr="003E46E3">
        <w:rPr>
          <w:rFonts w:ascii="Arial" w:hAnsi="Arial" w:cs="Arial"/>
          <w:sz w:val="24"/>
          <w:szCs w:val="24"/>
          <w:lang w:val="x-none"/>
        </w:rPr>
        <w:t>na prijedlog vjerovnika:</w:t>
      </w:r>
    </w:p>
    <w:p w:rsidR="00086220" w:rsidRPr="003E46E3" w:rsidRDefault="00C64B2E" w:rsidP="00C64B2E">
      <w:pPr>
        <w:autoSpaceDE w:val="0"/>
        <w:autoSpaceDN w:val="0"/>
        <w:adjustRightInd w:val="0"/>
        <w:spacing w:before="120" w:after="120" w:line="240" w:lineRule="auto"/>
        <w:ind w:firstLine="708"/>
        <w:jc w:val="both"/>
        <w:rPr>
          <w:rFonts w:ascii="Arial" w:hAnsi="Arial" w:cs="Arial"/>
          <w:sz w:val="24"/>
          <w:szCs w:val="24"/>
        </w:rPr>
      </w:pPr>
      <w:r w:rsidRPr="003E46E3">
        <w:rPr>
          <w:rFonts w:ascii="Arial" w:hAnsi="Arial" w:cs="Arial"/>
          <w:sz w:val="24"/>
          <w:szCs w:val="24"/>
        </w:rPr>
        <w:t xml:space="preserve">- </w:t>
      </w:r>
      <w:r w:rsidR="00086220" w:rsidRPr="003E46E3">
        <w:rPr>
          <w:rFonts w:ascii="Arial" w:hAnsi="Arial" w:cs="Arial"/>
          <w:sz w:val="24"/>
          <w:szCs w:val="24"/>
          <w:lang w:val="x-none"/>
        </w:rPr>
        <w:t xml:space="preserve">nakon sklopljenog </w:t>
      </w:r>
      <w:proofErr w:type="spellStart"/>
      <w:r w:rsidR="00086220" w:rsidRPr="003E46E3">
        <w:rPr>
          <w:rFonts w:ascii="Arial" w:hAnsi="Arial" w:cs="Arial"/>
          <w:sz w:val="24"/>
          <w:szCs w:val="24"/>
          <w:lang w:val="x-none"/>
        </w:rPr>
        <w:t>predstečajnog</w:t>
      </w:r>
      <w:proofErr w:type="spellEnd"/>
      <w:r w:rsidR="00086220" w:rsidRPr="003E46E3">
        <w:rPr>
          <w:rFonts w:ascii="Arial" w:hAnsi="Arial" w:cs="Arial"/>
          <w:sz w:val="24"/>
          <w:szCs w:val="24"/>
          <w:lang w:val="x-none"/>
        </w:rPr>
        <w:t xml:space="preserve"> sporazuma – u odnosu na tražbine ili dio tražbina koje su u </w:t>
      </w:r>
      <w:proofErr w:type="spellStart"/>
      <w:r w:rsidR="00086220" w:rsidRPr="003E46E3">
        <w:rPr>
          <w:rFonts w:ascii="Arial" w:hAnsi="Arial" w:cs="Arial"/>
          <w:sz w:val="24"/>
          <w:szCs w:val="24"/>
          <w:lang w:val="x-none"/>
        </w:rPr>
        <w:t>predstečajnom</w:t>
      </w:r>
      <w:proofErr w:type="spellEnd"/>
      <w:r w:rsidR="00086220" w:rsidRPr="003E46E3">
        <w:rPr>
          <w:rFonts w:ascii="Arial" w:hAnsi="Arial" w:cs="Arial"/>
          <w:sz w:val="24"/>
          <w:szCs w:val="24"/>
          <w:lang w:val="x-none"/>
        </w:rPr>
        <w:t xml:space="preserve"> postupku osporene</w:t>
      </w:r>
      <w:r w:rsidRPr="003E46E3">
        <w:rPr>
          <w:rFonts w:ascii="Arial" w:hAnsi="Arial" w:cs="Arial"/>
          <w:sz w:val="24"/>
          <w:szCs w:val="24"/>
        </w:rPr>
        <w:t>. U odnosu na ostale tražbine postupak se ne bi mogao nastaviti osim radi odbačaja tužbe, prijedloga i slično,</w:t>
      </w:r>
    </w:p>
    <w:p w:rsidR="00086220" w:rsidRPr="003E46E3" w:rsidRDefault="00C64B2E" w:rsidP="00C64B2E">
      <w:pPr>
        <w:autoSpaceDE w:val="0"/>
        <w:autoSpaceDN w:val="0"/>
        <w:adjustRightInd w:val="0"/>
        <w:spacing w:before="120" w:after="120" w:line="240" w:lineRule="auto"/>
        <w:ind w:firstLine="708"/>
        <w:jc w:val="both"/>
        <w:rPr>
          <w:rFonts w:ascii="Arial" w:hAnsi="Arial" w:cs="Arial"/>
          <w:sz w:val="24"/>
          <w:szCs w:val="24"/>
          <w:lang w:val="x-none"/>
        </w:rPr>
      </w:pPr>
      <w:r w:rsidRPr="003E46E3">
        <w:rPr>
          <w:rFonts w:ascii="Arial" w:hAnsi="Arial" w:cs="Arial"/>
          <w:sz w:val="24"/>
          <w:szCs w:val="24"/>
        </w:rPr>
        <w:lastRenderedPageBreak/>
        <w:t xml:space="preserve">- </w:t>
      </w:r>
      <w:r w:rsidR="00086220" w:rsidRPr="003E46E3">
        <w:rPr>
          <w:rFonts w:ascii="Arial" w:hAnsi="Arial" w:cs="Arial"/>
          <w:sz w:val="24"/>
          <w:szCs w:val="24"/>
          <w:lang w:val="x-none"/>
        </w:rPr>
        <w:t xml:space="preserve">nakon pravomoćnosti rješenja o obustavi </w:t>
      </w:r>
      <w:proofErr w:type="spellStart"/>
      <w:r w:rsidR="00086220" w:rsidRPr="003E46E3">
        <w:rPr>
          <w:rFonts w:ascii="Arial" w:hAnsi="Arial" w:cs="Arial"/>
          <w:sz w:val="24"/>
          <w:szCs w:val="24"/>
          <w:lang w:val="x-none"/>
        </w:rPr>
        <w:t>predstečajnog</w:t>
      </w:r>
      <w:proofErr w:type="spellEnd"/>
      <w:r w:rsidR="00086220" w:rsidRPr="003E46E3">
        <w:rPr>
          <w:rFonts w:ascii="Arial" w:hAnsi="Arial" w:cs="Arial"/>
          <w:sz w:val="24"/>
          <w:szCs w:val="24"/>
          <w:lang w:val="x-none"/>
        </w:rPr>
        <w:t xml:space="preserve"> postupka</w:t>
      </w:r>
      <w:r w:rsidR="00B64A4B" w:rsidRPr="003E46E3">
        <w:rPr>
          <w:rFonts w:ascii="Arial" w:hAnsi="Arial" w:cs="Arial"/>
          <w:sz w:val="24"/>
          <w:szCs w:val="24"/>
        </w:rPr>
        <w:t xml:space="preserve">. </w:t>
      </w:r>
      <w:r w:rsidRPr="003E46E3">
        <w:rPr>
          <w:rFonts w:ascii="Arial" w:hAnsi="Arial" w:cs="Arial"/>
          <w:sz w:val="24"/>
          <w:szCs w:val="24"/>
        </w:rPr>
        <w:t xml:space="preserve">Međutim, ako je sud odlučio </w:t>
      </w:r>
      <w:r w:rsidR="00B64A4B" w:rsidRPr="003E46E3">
        <w:rPr>
          <w:rFonts w:ascii="Arial" w:hAnsi="Arial" w:cs="Arial"/>
          <w:sz w:val="24"/>
          <w:szCs w:val="24"/>
        </w:rPr>
        <w:t>nastav</w:t>
      </w:r>
      <w:r w:rsidRPr="003E46E3">
        <w:rPr>
          <w:rFonts w:ascii="Arial" w:hAnsi="Arial" w:cs="Arial"/>
          <w:sz w:val="24"/>
          <w:szCs w:val="24"/>
        </w:rPr>
        <w:t xml:space="preserve">iti </w:t>
      </w:r>
      <w:r w:rsidR="00B64A4B" w:rsidRPr="003E46E3">
        <w:rPr>
          <w:rFonts w:ascii="Arial" w:hAnsi="Arial" w:cs="Arial"/>
          <w:sz w:val="24"/>
          <w:szCs w:val="24"/>
        </w:rPr>
        <w:t>postupak kao da je podnesen p</w:t>
      </w:r>
      <w:r w:rsidR="003E46E3">
        <w:rPr>
          <w:rFonts w:ascii="Arial" w:hAnsi="Arial" w:cs="Arial"/>
          <w:sz w:val="24"/>
          <w:szCs w:val="24"/>
        </w:rPr>
        <w:t>rijedlog za otvaranje stečajnog</w:t>
      </w:r>
      <w:r w:rsidR="00B64A4B" w:rsidRPr="003E46E3">
        <w:rPr>
          <w:rFonts w:ascii="Arial" w:hAnsi="Arial" w:cs="Arial"/>
          <w:sz w:val="24"/>
          <w:szCs w:val="24"/>
        </w:rPr>
        <w:t xml:space="preserve"> postupka</w:t>
      </w:r>
      <w:r w:rsidRPr="003E46E3">
        <w:rPr>
          <w:rFonts w:ascii="Arial" w:hAnsi="Arial" w:cs="Arial"/>
          <w:sz w:val="24"/>
          <w:szCs w:val="24"/>
        </w:rPr>
        <w:t xml:space="preserve"> navedeni postupci se mogu nastaviti, ali će isti ponovno biti prekinuti </w:t>
      </w:r>
      <w:r w:rsidR="003603F4" w:rsidRPr="003E46E3">
        <w:rPr>
          <w:rFonts w:ascii="Arial" w:hAnsi="Arial" w:cs="Arial"/>
          <w:sz w:val="24"/>
          <w:szCs w:val="24"/>
        </w:rPr>
        <w:t>ako sud otvo</w:t>
      </w:r>
      <w:r w:rsidRPr="003E46E3">
        <w:rPr>
          <w:rFonts w:ascii="Arial" w:hAnsi="Arial" w:cs="Arial"/>
          <w:sz w:val="24"/>
          <w:szCs w:val="24"/>
        </w:rPr>
        <w:t>r</w:t>
      </w:r>
      <w:r w:rsidR="003603F4" w:rsidRPr="003E46E3">
        <w:rPr>
          <w:rFonts w:ascii="Arial" w:hAnsi="Arial" w:cs="Arial"/>
          <w:sz w:val="24"/>
          <w:szCs w:val="24"/>
        </w:rPr>
        <w:t>i stečajni</w:t>
      </w:r>
      <w:r w:rsidRPr="003E46E3">
        <w:rPr>
          <w:rFonts w:ascii="Arial" w:hAnsi="Arial" w:cs="Arial"/>
          <w:sz w:val="24"/>
          <w:szCs w:val="24"/>
        </w:rPr>
        <w:t xml:space="preserve"> postup</w:t>
      </w:r>
      <w:r w:rsidR="003603F4" w:rsidRPr="003E46E3">
        <w:rPr>
          <w:rFonts w:ascii="Arial" w:hAnsi="Arial" w:cs="Arial"/>
          <w:sz w:val="24"/>
          <w:szCs w:val="24"/>
        </w:rPr>
        <w:t>a</w:t>
      </w:r>
      <w:r w:rsidRPr="003E46E3">
        <w:rPr>
          <w:rFonts w:ascii="Arial" w:hAnsi="Arial" w:cs="Arial"/>
          <w:sz w:val="24"/>
          <w:szCs w:val="24"/>
        </w:rPr>
        <w:t>k</w:t>
      </w:r>
      <w:r w:rsidR="00086220" w:rsidRPr="003E46E3">
        <w:rPr>
          <w:rFonts w:ascii="Arial" w:hAnsi="Arial" w:cs="Arial"/>
          <w:sz w:val="24"/>
          <w:szCs w:val="24"/>
          <w:lang w:val="x-none"/>
        </w:rPr>
        <w:t>.</w:t>
      </w:r>
    </w:p>
    <w:p w:rsidR="005A7DBE" w:rsidRPr="003E46E3" w:rsidRDefault="00B64A4B" w:rsidP="00086220">
      <w:pPr>
        <w:autoSpaceDE w:val="0"/>
        <w:autoSpaceDN w:val="0"/>
        <w:adjustRightInd w:val="0"/>
        <w:spacing w:before="120" w:after="120" w:line="240" w:lineRule="auto"/>
        <w:jc w:val="both"/>
        <w:rPr>
          <w:rFonts w:ascii="Arial" w:hAnsi="Arial" w:cs="Arial"/>
          <w:sz w:val="24"/>
          <w:szCs w:val="24"/>
        </w:rPr>
      </w:pPr>
      <w:r w:rsidRPr="003E46E3">
        <w:rPr>
          <w:rFonts w:ascii="Arial" w:hAnsi="Arial" w:cs="Arial"/>
          <w:sz w:val="24"/>
          <w:szCs w:val="24"/>
        </w:rPr>
        <w:tab/>
      </w:r>
      <w:r w:rsidR="003603F4" w:rsidRPr="003E46E3">
        <w:rPr>
          <w:rFonts w:ascii="Arial" w:hAnsi="Arial" w:cs="Arial"/>
          <w:sz w:val="24"/>
          <w:szCs w:val="24"/>
        </w:rPr>
        <w:t>P</w:t>
      </w:r>
      <w:proofErr w:type="spellStart"/>
      <w:r w:rsidR="003603F4" w:rsidRPr="003E46E3">
        <w:rPr>
          <w:rFonts w:ascii="Arial" w:hAnsi="Arial" w:cs="Arial"/>
          <w:sz w:val="24"/>
          <w:szCs w:val="24"/>
          <w:lang w:val="x-none"/>
        </w:rPr>
        <w:t>arnični</w:t>
      </w:r>
      <w:proofErr w:type="spellEnd"/>
      <w:r w:rsidR="003603F4" w:rsidRPr="003E46E3">
        <w:rPr>
          <w:rFonts w:ascii="Arial" w:hAnsi="Arial" w:cs="Arial"/>
          <w:sz w:val="24"/>
          <w:szCs w:val="24"/>
          <w:lang w:val="x-none"/>
        </w:rPr>
        <w:t>, ovršni, upravni i postup</w:t>
      </w:r>
      <w:r w:rsidR="003603F4" w:rsidRPr="003E46E3">
        <w:rPr>
          <w:rFonts w:ascii="Arial" w:hAnsi="Arial" w:cs="Arial"/>
          <w:sz w:val="24"/>
          <w:szCs w:val="24"/>
        </w:rPr>
        <w:t>ci</w:t>
      </w:r>
      <w:r w:rsidR="003603F4" w:rsidRPr="003E46E3">
        <w:rPr>
          <w:rFonts w:ascii="Arial" w:hAnsi="Arial" w:cs="Arial"/>
          <w:sz w:val="24"/>
          <w:szCs w:val="24"/>
          <w:lang w:val="x-none"/>
        </w:rPr>
        <w:t xml:space="preserve"> osiguranja protiv dužnika na koje </w:t>
      </w:r>
      <w:proofErr w:type="spellStart"/>
      <w:r w:rsidR="003603F4" w:rsidRPr="003E46E3">
        <w:rPr>
          <w:rFonts w:ascii="Arial" w:hAnsi="Arial" w:cs="Arial"/>
          <w:sz w:val="24"/>
          <w:szCs w:val="24"/>
          <w:lang w:val="x-none"/>
        </w:rPr>
        <w:t>predstečajni</w:t>
      </w:r>
      <w:proofErr w:type="spellEnd"/>
      <w:r w:rsidR="003603F4" w:rsidRPr="003E46E3">
        <w:rPr>
          <w:rFonts w:ascii="Arial" w:hAnsi="Arial" w:cs="Arial"/>
          <w:sz w:val="24"/>
          <w:szCs w:val="24"/>
          <w:lang w:val="x-none"/>
        </w:rPr>
        <w:t xml:space="preserve"> postupak ne utječe</w:t>
      </w:r>
      <w:r w:rsidR="003E46E3">
        <w:rPr>
          <w:rFonts w:ascii="Arial" w:hAnsi="Arial" w:cs="Arial"/>
          <w:sz w:val="24"/>
          <w:szCs w:val="24"/>
        </w:rPr>
        <w:t>,</w:t>
      </w:r>
      <w:r w:rsidR="003603F4" w:rsidRPr="003E46E3">
        <w:rPr>
          <w:rFonts w:ascii="Arial" w:hAnsi="Arial" w:cs="Arial"/>
          <w:sz w:val="24"/>
          <w:szCs w:val="24"/>
        </w:rPr>
        <w:t xml:space="preserve"> ne prekidaju se otvaranjem </w:t>
      </w:r>
      <w:proofErr w:type="spellStart"/>
      <w:r w:rsidR="003603F4" w:rsidRPr="003E46E3">
        <w:rPr>
          <w:rFonts w:ascii="Arial" w:hAnsi="Arial" w:cs="Arial"/>
          <w:sz w:val="24"/>
          <w:szCs w:val="24"/>
        </w:rPr>
        <w:t>predstečajnog</w:t>
      </w:r>
      <w:proofErr w:type="spellEnd"/>
      <w:r w:rsidR="003603F4" w:rsidRPr="003E46E3">
        <w:rPr>
          <w:rFonts w:ascii="Arial" w:hAnsi="Arial" w:cs="Arial"/>
          <w:sz w:val="24"/>
          <w:szCs w:val="24"/>
        </w:rPr>
        <w:t xml:space="preserve"> postupka</w:t>
      </w:r>
      <w:r w:rsidR="003E46E3">
        <w:rPr>
          <w:rFonts w:ascii="Arial" w:hAnsi="Arial" w:cs="Arial"/>
          <w:sz w:val="24"/>
          <w:szCs w:val="24"/>
        </w:rPr>
        <w:t>,</w:t>
      </w:r>
      <w:r w:rsidR="003603F4" w:rsidRPr="003E46E3">
        <w:rPr>
          <w:rFonts w:ascii="Arial" w:hAnsi="Arial" w:cs="Arial"/>
          <w:sz w:val="24"/>
          <w:szCs w:val="24"/>
        </w:rPr>
        <w:t xml:space="preserve"> a mogu se pokrenuti protiv dužnika </w:t>
      </w:r>
      <w:r w:rsidR="003E46E3">
        <w:rPr>
          <w:rFonts w:ascii="Arial" w:hAnsi="Arial" w:cs="Arial"/>
          <w:sz w:val="24"/>
          <w:szCs w:val="24"/>
        </w:rPr>
        <w:t xml:space="preserve">i nakon otvaranja </w:t>
      </w:r>
      <w:proofErr w:type="spellStart"/>
      <w:r w:rsidR="003E46E3">
        <w:rPr>
          <w:rFonts w:ascii="Arial" w:hAnsi="Arial" w:cs="Arial"/>
          <w:sz w:val="24"/>
          <w:szCs w:val="24"/>
        </w:rPr>
        <w:t>predstečajnog</w:t>
      </w:r>
      <w:proofErr w:type="spellEnd"/>
      <w:r w:rsidR="003603F4" w:rsidRPr="003E46E3">
        <w:rPr>
          <w:rFonts w:ascii="Arial" w:hAnsi="Arial" w:cs="Arial"/>
          <w:sz w:val="24"/>
          <w:szCs w:val="24"/>
        </w:rPr>
        <w:t xml:space="preserve"> postupka kao i postupci </w:t>
      </w:r>
      <w:r w:rsidR="00086220" w:rsidRPr="003E46E3">
        <w:rPr>
          <w:rFonts w:ascii="Arial" w:hAnsi="Arial" w:cs="Arial"/>
          <w:sz w:val="24"/>
          <w:szCs w:val="24"/>
          <w:lang w:val="x-none"/>
        </w:rPr>
        <w:t>radi ostvarenja tražbina koje su nastale nakon otva</w:t>
      </w:r>
      <w:r w:rsidR="003E46E3">
        <w:rPr>
          <w:rFonts w:ascii="Arial" w:hAnsi="Arial" w:cs="Arial"/>
          <w:sz w:val="24"/>
          <w:szCs w:val="24"/>
          <w:lang w:val="x-none"/>
        </w:rPr>
        <w:t xml:space="preserve">ranja </w:t>
      </w:r>
      <w:proofErr w:type="spellStart"/>
      <w:r w:rsidR="003E46E3">
        <w:rPr>
          <w:rFonts w:ascii="Arial" w:hAnsi="Arial" w:cs="Arial"/>
          <w:sz w:val="24"/>
          <w:szCs w:val="24"/>
          <w:lang w:val="x-none"/>
        </w:rPr>
        <w:t>predstečajnog</w:t>
      </w:r>
      <w:proofErr w:type="spellEnd"/>
      <w:r w:rsidR="00086220" w:rsidRPr="003E46E3">
        <w:rPr>
          <w:rFonts w:ascii="Arial" w:hAnsi="Arial" w:cs="Arial"/>
          <w:sz w:val="24"/>
          <w:szCs w:val="24"/>
          <w:lang w:val="x-none"/>
        </w:rPr>
        <w:t xml:space="preserve"> postupka.</w:t>
      </w:r>
      <w:r w:rsidR="005A7DBE" w:rsidRPr="003E46E3">
        <w:rPr>
          <w:rFonts w:ascii="Arial" w:hAnsi="Arial" w:cs="Arial"/>
          <w:sz w:val="24"/>
          <w:szCs w:val="24"/>
        </w:rPr>
        <w:t xml:space="preserve"> </w:t>
      </w:r>
    </w:p>
    <w:p w:rsidR="008A21BE" w:rsidRPr="003E46E3" w:rsidRDefault="00B64A4B" w:rsidP="00086220">
      <w:pPr>
        <w:autoSpaceDE w:val="0"/>
        <w:autoSpaceDN w:val="0"/>
        <w:adjustRightInd w:val="0"/>
        <w:spacing w:before="120" w:after="120" w:line="240" w:lineRule="auto"/>
        <w:jc w:val="both"/>
        <w:rPr>
          <w:rFonts w:ascii="Arial" w:hAnsi="Arial" w:cs="Arial"/>
          <w:sz w:val="24"/>
          <w:szCs w:val="24"/>
        </w:rPr>
      </w:pPr>
      <w:r w:rsidRPr="003E46E3">
        <w:rPr>
          <w:rFonts w:ascii="Arial" w:hAnsi="Arial" w:cs="Arial"/>
          <w:sz w:val="24"/>
          <w:szCs w:val="24"/>
        </w:rPr>
        <w:tab/>
      </w:r>
      <w:r w:rsidR="00086220" w:rsidRPr="003E46E3">
        <w:rPr>
          <w:rFonts w:ascii="Arial" w:hAnsi="Arial" w:cs="Arial"/>
          <w:sz w:val="24"/>
          <w:szCs w:val="24"/>
          <w:lang w:val="x-none"/>
        </w:rPr>
        <w:t>U postupcima pred sudom u kojima je utvrđen prekid postup</w:t>
      </w:r>
      <w:r w:rsidR="003E46E3">
        <w:rPr>
          <w:rFonts w:ascii="Arial" w:hAnsi="Arial" w:cs="Arial"/>
          <w:sz w:val="24"/>
          <w:szCs w:val="24"/>
          <w:lang w:val="x-none"/>
        </w:rPr>
        <w:t xml:space="preserve">ka zbog otvaranja </w:t>
      </w:r>
      <w:proofErr w:type="spellStart"/>
      <w:r w:rsidR="003E46E3">
        <w:rPr>
          <w:rFonts w:ascii="Arial" w:hAnsi="Arial" w:cs="Arial"/>
          <w:sz w:val="24"/>
          <w:szCs w:val="24"/>
          <w:lang w:val="x-none"/>
        </w:rPr>
        <w:t>predstečajnog</w:t>
      </w:r>
      <w:proofErr w:type="spellEnd"/>
      <w:r w:rsidR="00086220" w:rsidRPr="003E46E3">
        <w:rPr>
          <w:rFonts w:ascii="Arial" w:hAnsi="Arial" w:cs="Arial"/>
          <w:sz w:val="24"/>
          <w:szCs w:val="24"/>
          <w:lang w:val="x-none"/>
        </w:rPr>
        <w:t xml:space="preserve"> postupka i u kojima je, nakon toga, doneseno pravomoćno rješenje o potvrdi </w:t>
      </w:r>
      <w:proofErr w:type="spellStart"/>
      <w:r w:rsidR="00086220" w:rsidRPr="003E46E3">
        <w:rPr>
          <w:rFonts w:ascii="Arial" w:hAnsi="Arial" w:cs="Arial"/>
          <w:sz w:val="24"/>
          <w:szCs w:val="24"/>
          <w:lang w:val="x-none"/>
        </w:rPr>
        <w:t>predstečajnog</w:t>
      </w:r>
      <w:proofErr w:type="spellEnd"/>
      <w:r w:rsidR="00086220" w:rsidRPr="003E46E3">
        <w:rPr>
          <w:rFonts w:ascii="Arial" w:hAnsi="Arial" w:cs="Arial"/>
          <w:sz w:val="24"/>
          <w:szCs w:val="24"/>
          <w:lang w:val="x-none"/>
        </w:rPr>
        <w:t xml:space="preserve"> sporazuma kojim je obuhvaćena tražbina vjerovnika sud će postupak nastaviti i odbaciti tužbu odnosno obustaviti ovrhu ili postupak osiguranja, osim u odnosu na tražbine ili dio tražbina koje su u </w:t>
      </w:r>
      <w:proofErr w:type="spellStart"/>
      <w:r w:rsidR="00086220" w:rsidRPr="003E46E3">
        <w:rPr>
          <w:rFonts w:ascii="Arial" w:hAnsi="Arial" w:cs="Arial"/>
          <w:sz w:val="24"/>
          <w:szCs w:val="24"/>
          <w:lang w:val="x-none"/>
        </w:rPr>
        <w:t>predstečajnom</w:t>
      </w:r>
      <w:proofErr w:type="spellEnd"/>
      <w:r w:rsidR="00086220" w:rsidRPr="003E46E3">
        <w:rPr>
          <w:rFonts w:ascii="Arial" w:hAnsi="Arial" w:cs="Arial"/>
          <w:sz w:val="24"/>
          <w:szCs w:val="24"/>
          <w:lang w:val="x-none"/>
        </w:rPr>
        <w:t xml:space="preserve"> postupku osporene.</w:t>
      </w:r>
      <w:r w:rsidR="00C64B2E" w:rsidRPr="003E46E3">
        <w:rPr>
          <w:rFonts w:ascii="Arial" w:hAnsi="Arial" w:cs="Arial"/>
          <w:sz w:val="24"/>
          <w:szCs w:val="24"/>
        </w:rPr>
        <w:t xml:space="preserve"> </w:t>
      </w:r>
    </w:p>
    <w:p w:rsidR="000A6239" w:rsidRPr="0086580C" w:rsidRDefault="0086580C" w:rsidP="0086580C">
      <w:pPr>
        <w:tabs>
          <w:tab w:val="left" w:pos="7289"/>
        </w:tabs>
        <w:autoSpaceDE w:val="0"/>
        <w:autoSpaceDN w:val="0"/>
        <w:adjustRightInd w:val="0"/>
        <w:spacing w:before="120" w:after="120" w:line="240" w:lineRule="auto"/>
        <w:jc w:val="both"/>
        <w:rPr>
          <w:rFonts w:ascii="Arial" w:hAnsi="Arial" w:cs="Arial"/>
          <w:sz w:val="24"/>
          <w:szCs w:val="24"/>
        </w:rPr>
      </w:pPr>
      <w:r w:rsidRPr="0086580C">
        <w:rPr>
          <w:rFonts w:ascii="Arial" w:hAnsi="Arial" w:cs="Arial"/>
          <w:sz w:val="24"/>
          <w:szCs w:val="24"/>
        </w:rPr>
        <w:tab/>
      </w:r>
    </w:p>
    <w:p w:rsidR="00086220" w:rsidRDefault="00281FC4" w:rsidP="00281FC4">
      <w:pPr>
        <w:pStyle w:val="Naslov2"/>
      </w:pPr>
      <w:bookmarkStart w:id="50" w:name="_Toc507067647"/>
      <w:r>
        <w:t>4.6.</w:t>
      </w:r>
      <w:r w:rsidR="00756FDF" w:rsidRPr="00281FC4">
        <w:t xml:space="preserve"> </w:t>
      </w:r>
      <w:r w:rsidR="00086220" w:rsidRPr="00281FC4">
        <w:t>Postupanje F</w:t>
      </w:r>
      <w:r w:rsidR="002F305A" w:rsidRPr="00281FC4">
        <w:t>INA-e</w:t>
      </w:r>
      <w:r w:rsidR="00086220" w:rsidRPr="00281FC4">
        <w:t xml:space="preserve"> s osnovama za plaćanje nakon otvaranja </w:t>
      </w:r>
      <w:proofErr w:type="spellStart"/>
      <w:r w:rsidR="00086220" w:rsidRPr="00281FC4">
        <w:t>predstečajnog</w:t>
      </w:r>
      <w:proofErr w:type="spellEnd"/>
      <w:r w:rsidR="00086220" w:rsidRPr="00281FC4">
        <w:t xml:space="preserve"> postupka</w:t>
      </w:r>
      <w:r w:rsidR="005A7DBE" w:rsidRPr="0086580C">
        <w:rPr>
          <w:rStyle w:val="Referencafusnote"/>
          <w:rFonts w:cs="Arial"/>
          <w:b w:val="0"/>
          <w:i/>
          <w:iCs/>
          <w:sz w:val="24"/>
          <w:szCs w:val="24"/>
          <w:lang w:val="x-none"/>
        </w:rPr>
        <w:footnoteReference w:id="268"/>
      </w:r>
      <w:bookmarkEnd w:id="50"/>
    </w:p>
    <w:p w:rsidR="00281FC4" w:rsidRPr="00281FC4" w:rsidRDefault="00281FC4" w:rsidP="00281FC4"/>
    <w:p w:rsidR="00086220" w:rsidRPr="002A05B0" w:rsidRDefault="00086220" w:rsidP="002A05B0">
      <w:pPr>
        <w:pStyle w:val="Bezproreda"/>
        <w:ind w:firstLine="708"/>
        <w:jc w:val="both"/>
      </w:pPr>
      <w:r w:rsidRPr="002A05B0">
        <w:t xml:space="preserve">Od dana primitka rješenja o otvaranju </w:t>
      </w:r>
      <w:proofErr w:type="spellStart"/>
      <w:r w:rsidRPr="002A05B0">
        <w:t>predstečajnog</w:t>
      </w:r>
      <w:proofErr w:type="spellEnd"/>
      <w:r w:rsidRPr="002A05B0">
        <w:t xml:space="preserve"> postupka F</w:t>
      </w:r>
      <w:r w:rsidR="002F305A" w:rsidRPr="002A05B0">
        <w:t>INA</w:t>
      </w:r>
      <w:r w:rsidRPr="002A05B0">
        <w:t xml:space="preserve"> prestaje izvršavati sve osnove za plaćanje evidentirane u Očevidniku redoslijeda osnova za plaćanje na teret dužnika, osim obračuna neisplaćene plaće, naknade plaće i otpremnine i osnova za plaćanje koje se odnose na mjere osiguranja u kaznenom postupku.</w:t>
      </w:r>
    </w:p>
    <w:p w:rsidR="002A05B0" w:rsidRDefault="002A05B0" w:rsidP="002A05B0">
      <w:pPr>
        <w:pStyle w:val="Bezproreda"/>
      </w:pPr>
    </w:p>
    <w:p w:rsidR="00F94D6F" w:rsidRDefault="00086220" w:rsidP="002A05B0">
      <w:pPr>
        <w:pStyle w:val="Bezproreda"/>
        <w:ind w:firstLine="708"/>
        <w:jc w:val="both"/>
      </w:pPr>
      <w:r w:rsidRPr="002A05B0">
        <w:t xml:space="preserve">Vjerovnik osnove za plaćanje na temelju koje se na novčanim sredstvima po računu dužnika </w:t>
      </w:r>
      <w:r w:rsidRPr="002A05B0">
        <w:rPr>
          <w:b/>
        </w:rPr>
        <w:t>pravne osobe</w:t>
      </w:r>
      <w:r w:rsidRPr="002A05B0">
        <w:t xml:space="preserve"> treba provesti ili provodi ovrha radi naplate tražbine radnika i prijašnjeg radnika dužnika iz radnog odnosa u bruto iznosu ili tražbine po osnovi naknade štete pretrpljene zbog ozljede na radu ili profesionalne bolesti, odnosno radi tražbine koja je nastala nakon otvaranja </w:t>
      </w:r>
      <w:proofErr w:type="spellStart"/>
      <w:r w:rsidRPr="002A05B0">
        <w:t>predsteča</w:t>
      </w:r>
      <w:r w:rsidR="002A05B0">
        <w:t>jnog</w:t>
      </w:r>
      <w:proofErr w:type="spellEnd"/>
      <w:r w:rsidRPr="002A05B0">
        <w:t xml:space="preserve"> postupka, može zatražiti od povjerenika ili suda ako povjerenik nije imenovan, da naloži F</w:t>
      </w:r>
      <w:r w:rsidR="002F305A" w:rsidRPr="002A05B0">
        <w:t>INA-i</w:t>
      </w:r>
      <w:r w:rsidRPr="002A05B0">
        <w:t xml:space="preserve"> da nastavi s provedbom ovrhe po toj osnovi za plaćanje odnosno da provede ovrhu na novčanim sredstvima po računu dužnika sukladno posebnom zakonu.</w:t>
      </w:r>
      <w:r w:rsidR="00B64A4B" w:rsidRPr="002A05B0">
        <w:t xml:space="preserve"> </w:t>
      </w:r>
    </w:p>
    <w:p w:rsidR="002A05B0" w:rsidRPr="002A05B0" w:rsidRDefault="002A05B0" w:rsidP="002A05B0">
      <w:pPr>
        <w:pStyle w:val="Bezproreda"/>
        <w:ind w:firstLine="708"/>
        <w:jc w:val="both"/>
      </w:pPr>
    </w:p>
    <w:p w:rsidR="00086220" w:rsidRPr="002A05B0" w:rsidRDefault="00086220" w:rsidP="002A05B0">
      <w:pPr>
        <w:pStyle w:val="Bezproreda"/>
        <w:ind w:firstLine="708"/>
        <w:jc w:val="both"/>
      </w:pPr>
      <w:r w:rsidRPr="002A05B0">
        <w:t xml:space="preserve">Vjerovnik osnove za plaćanje na temelju koje se na novčanim sredstvima po računu </w:t>
      </w:r>
      <w:r w:rsidRPr="002A05B0">
        <w:rPr>
          <w:b/>
        </w:rPr>
        <w:t xml:space="preserve">dužnika pojedinca </w:t>
      </w:r>
      <w:r w:rsidRPr="002A05B0">
        <w:t xml:space="preserve">treba provesti ili provodi ovrha radi naplate tražbine radnika i prijašnjeg radnika dužnika iz radnog odnosa u bruto iznosu, tražbine po osnovi naknade štete pretrpljene zbog ozljede na radu ili profesionalne bolesti, odnosno radi tražbine koja je nastala nakon otvaranja </w:t>
      </w:r>
      <w:proofErr w:type="spellStart"/>
      <w:r w:rsidRPr="002A05B0">
        <w:t>predstečajnog</w:t>
      </w:r>
      <w:proofErr w:type="spellEnd"/>
      <w:r w:rsidRPr="002A05B0">
        <w:t xml:space="preserve"> postupka i tražbine koja nije proizašla iz ili vezana uz obavljanje djelatnosti dužnika pojedinca, može zatražiti od povjerenika ili suda ako povjerenik nije imenovan, da naloži Financijskoj agenciji da nastavi s provedbom ovrhe po toj osnovi za plaćanje odnosno da provede ovrhu na novčanim sredstvima po računu dužnika sukladno posebnom zakonu.</w:t>
      </w:r>
    </w:p>
    <w:p w:rsidR="002A05B0" w:rsidRDefault="002A05B0" w:rsidP="002A05B0">
      <w:pPr>
        <w:pStyle w:val="Bezproreda"/>
      </w:pPr>
    </w:p>
    <w:p w:rsidR="00086220" w:rsidRDefault="00086220" w:rsidP="002A05B0">
      <w:pPr>
        <w:pStyle w:val="Bezproreda"/>
        <w:ind w:firstLine="708"/>
        <w:jc w:val="both"/>
      </w:pPr>
      <w:proofErr w:type="spellStart"/>
      <w:r w:rsidRPr="002A05B0">
        <w:t>Razlučni</w:t>
      </w:r>
      <w:proofErr w:type="spellEnd"/>
      <w:r w:rsidRPr="002A05B0">
        <w:t xml:space="preserve"> vjerovnik čije se </w:t>
      </w:r>
      <w:proofErr w:type="spellStart"/>
      <w:r w:rsidRPr="002A05B0">
        <w:t>razlučno</w:t>
      </w:r>
      <w:proofErr w:type="spellEnd"/>
      <w:r w:rsidRPr="002A05B0">
        <w:t xml:space="preserve"> pravo temelji na založnom pravu stečenom pljenidbom novčane tražbine po računu dužnika provedbom ovrhe na novčanim sredstvima po računu, nakon utvrđenja njegova položaja kao </w:t>
      </w:r>
      <w:proofErr w:type="spellStart"/>
      <w:r w:rsidRPr="002A05B0">
        <w:t>razlučnoga</w:t>
      </w:r>
      <w:proofErr w:type="spellEnd"/>
      <w:r w:rsidRPr="002A05B0">
        <w:t xml:space="preserve"> vjerovnika za taj iznos tražbine, može zatražiti od povjerenika ili suda ako povjerenik nije imenovan, da naloži F</w:t>
      </w:r>
      <w:r w:rsidR="002F305A" w:rsidRPr="002A05B0">
        <w:t>INA-i</w:t>
      </w:r>
      <w:r w:rsidRPr="002A05B0">
        <w:t xml:space="preserve"> da nastavi s provedbom ovrhe po toj osnovi za plaćanje za iznos koji je zaplijenjen s računa dužnika do otvaranja </w:t>
      </w:r>
      <w:proofErr w:type="spellStart"/>
      <w:r w:rsidRPr="002A05B0">
        <w:t>predstečajnog</w:t>
      </w:r>
      <w:proofErr w:type="spellEnd"/>
      <w:r w:rsidRPr="002A05B0">
        <w:t xml:space="preserve"> postupka.</w:t>
      </w:r>
    </w:p>
    <w:p w:rsidR="002A05B0" w:rsidRPr="002A05B0" w:rsidRDefault="002A05B0" w:rsidP="002A05B0">
      <w:pPr>
        <w:pStyle w:val="Bezproreda"/>
        <w:ind w:firstLine="708"/>
        <w:jc w:val="both"/>
      </w:pPr>
    </w:p>
    <w:p w:rsidR="00F94D6F" w:rsidRDefault="00086220" w:rsidP="002A05B0">
      <w:pPr>
        <w:pStyle w:val="Bezproreda"/>
        <w:ind w:firstLine="708"/>
        <w:jc w:val="both"/>
      </w:pPr>
      <w:r w:rsidRPr="002A05B0">
        <w:t xml:space="preserve">Od dana primitka rješenja o otvaranju </w:t>
      </w:r>
      <w:proofErr w:type="spellStart"/>
      <w:r w:rsidRPr="002A05B0">
        <w:t>predstečajnog</w:t>
      </w:r>
      <w:proofErr w:type="spellEnd"/>
      <w:r w:rsidRPr="002A05B0">
        <w:t xml:space="preserve"> postupka do dana primitka pravomoćnoga rješenja o obustavi </w:t>
      </w:r>
      <w:proofErr w:type="spellStart"/>
      <w:r w:rsidRPr="002A05B0">
        <w:t>predstečajnog</w:t>
      </w:r>
      <w:proofErr w:type="spellEnd"/>
      <w:r w:rsidRPr="002A05B0">
        <w:t xml:space="preserve"> postupka ili pravomoćnoga rješenja kojim se potvrđuje </w:t>
      </w:r>
      <w:proofErr w:type="spellStart"/>
      <w:r w:rsidRPr="002A05B0">
        <w:t>predstečajni</w:t>
      </w:r>
      <w:proofErr w:type="spellEnd"/>
      <w:r w:rsidRPr="002A05B0">
        <w:t xml:space="preserve"> sporazum, F</w:t>
      </w:r>
      <w:r w:rsidR="002F305A" w:rsidRPr="002A05B0">
        <w:t>INA</w:t>
      </w:r>
      <w:r w:rsidRPr="002A05B0">
        <w:t xml:space="preserve"> osnove za plaćanje neće upisivati u Očevidnik redoslijeda </w:t>
      </w:r>
      <w:r w:rsidRPr="002A05B0">
        <w:lastRenderedPageBreak/>
        <w:t xml:space="preserve">osnova za plaćanje niti po njima postupati, osim u slučaju iz stavaka 1., 2., 3. i 4. članka </w:t>
      </w:r>
      <w:r w:rsidR="002F305A" w:rsidRPr="002A05B0">
        <w:t xml:space="preserve">69. SZ-a </w:t>
      </w:r>
      <w:r w:rsidRPr="002A05B0">
        <w:t xml:space="preserve">i u slučaju primitka obračuna neisplaćene plaće, naknade plaće i otpremnine i osnova za plaćanje koje se odnose na mjere </w:t>
      </w:r>
      <w:r w:rsidR="003C472E" w:rsidRPr="002A05B0">
        <w:t>osiguranja u kaznenom postupku.</w:t>
      </w:r>
    </w:p>
    <w:p w:rsidR="00CB513F" w:rsidRPr="002A05B0" w:rsidRDefault="00CB513F" w:rsidP="002A05B0">
      <w:pPr>
        <w:pStyle w:val="Bezproreda"/>
        <w:ind w:firstLine="708"/>
        <w:jc w:val="both"/>
      </w:pPr>
    </w:p>
    <w:p w:rsidR="00086220" w:rsidRPr="00281FC4" w:rsidRDefault="00281FC4" w:rsidP="00281FC4">
      <w:pPr>
        <w:pStyle w:val="Naslov2"/>
      </w:pPr>
      <w:bookmarkStart w:id="51" w:name="_Toc507067648"/>
      <w:r>
        <w:rPr>
          <w:rFonts w:ascii="Times New Roman" w:hAnsi="Times New Roman" w:cs="Times New Roman"/>
        </w:rPr>
        <w:t>4.7.</w:t>
      </w:r>
      <w:r w:rsidR="00756FDF" w:rsidRPr="00281FC4">
        <w:rPr>
          <w:rFonts w:ascii="Times New Roman" w:hAnsi="Times New Roman" w:cs="Times New Roman"/>
        </w:rPr>
        <w:t xml:space="preserve"> </w:t>
      </w:r>
      <w:r w:rsidR="00086220" w:rsidRPr="00281FC4">
        <w:t>P</w:t>
      </w:r>
      <w:r w:rsidR="00CB513F" w:rsidRPr="00281FC4">
        <w:t xml:space="preserve">ostupanje </w:t>
      </w:r>
      <w:r w:rsidR="00086220" w:rsidRPr="00281FC4">
        <w:t>F</w:t>
      </w:r>
      <w:r w:rsidR="002F305A" w:rsidRPr="00281FC4">
        <w:t>INA-e</w:t>
      </w:r>
      <w:r w:rsidR="00086220" w:rsidRPr="00281FC4">
        <w:t xml:space="preserve"> s osnovama za plaćanje nakon obustave </w:t>
      </w:r>
      <w:proofErr w:type="spellStart"/>
      <w:r w:rsidR="00086220" w:rsidRPr="00281FC4">
        <w:t>predstečajnog</w:t>
      </w:r>
      <w:proofErr w:type="spellEnd"/>
      <w:r w:rsidR="00086220" w:rsidRPr="00281FC4">
        <w:t xml:space="preserve"> postupka</w:t>
      </w:r>
      <w:r w:rsidR="005A7DBE" w:rsidRPr="003D4607">
        <w:rPr>
          <w:rStyle w:val="Referencafusnote"/>
          <w:rFonts w:cs="Arial"/>
          <w:b w:val="0"/>
          <w:iCs/>
          <w:sz w:val="24"/>
          <w:szCs w:val="24"/>
          <w:lang w:val="x-none"/>
        </w:rPr>
        <w:footnoteReference w:id="269"/>
      </w:r>
      <w:bookmarkEnd w:id="51"/>
    </w:p>
    <w:p w:rsidR="00CB513F" w:rsidRPr="00CB513F" w:rsidRDefault="00CB513F" w:rsidP="00CB513F">
      <w:pPr>
        <w:pStyle w:val="Odlomakpopisa"/>
        <w:autoSpaceDE w:val="0"/>
        <w:autoSpaceDN w:val="0"/>
        <w:adjustRightInd w:val="0"/>
        <w:spacing w:before="120" w:after="120" w:line="240" w:lineRule="auto"/>
        <w:ind w:left="1068"/>
        <w:jc w:val="both"/>
        <w:rPr>
          <w:rFonts w:ascii="Arial" w:hAnsi="Arial" w:cs="Arial"/>
          <w:b/>
          <w:sz w:val="24"/>
          <w:szCs w:val="24"/>
          <w:lang w:val="x-none"/>
        </w:rPr>
      </w:pPr>
    </w:p>
    <w:p w:rsidR="00086220" w:rsidRPr="00CB513F" w:rsidRDefault="00086220" w:rsidP="002F305A">
      <w:pPr>
        <w:autoSpaceDE w:val="0"/>
        <w:autoSpaceDN w:val="0"/>
        <w:adjustRightInd w:val="0"/>
        <w:spacing w:before="120" w:after="120" w:line="240" w:lineRule="auto"/>
        <w:ind w:firstLine="708"/>
        <w:jc w:val="both"/>
        <w:rPr>
          <w:rFonts w:ascii="Arial" w:hAnsi="Arial" w:cs="Arial"/>
          <w:sz w:val="24"/>
          <w:szCs w:val="24"/>
          <w:lang w:val="x-none"/>
        </w:rPr>
      </w:pPr>
      <w:r w:rsidRPr="00CB513F">
        <w:rPr>
          <w:rFonts w:ascii="Arial" w:hAnsi="Arial" w:cs="Arial"/>
          <w:sz w:val="24"/>
          <w:szCs w:val="24"/>
          <w:lang w:val="x-none"/>
        </w:rPr>
        <w:t xml:space="preserve">Od dana primitka pravomoćnoga rješenja o obustavi </w:t>
      </w:r>
      <w:proofErr w:type="spellStart"/>
      <w:r w:rsidRPr="00CB513F">
        <w:rPr>
          <w:rFonts w:ascii="Arial" w:hAnsi="Arial" w:cs="Arial"/>
          <w:sz w:val="24"/>
          <w:szCs w:val="24"/>
          <w:lang w:val="x-none"/>
        </w:rPr>
        <w:t>predstečajnog</w:t>
      </w:r>
      <w:proofErr w:type="spellEnd"/>
      <w:r w:rsidRPr="00CB513F">
        <w:rPr>
          <w:rFonts w:ascii="Arial" w:hAnsi="Arial" w:cs="Arial"/>
          <w:sz w:val="24"/>
          <w:szCs w:val="24"/>
          <w:lang w:val="x-none"/>
        </w:rPr>
        <w:t xml:space="preserve"> postupka, F</w:t>
      </w:r>
      <w:r w:rsidR="002F305A" w:rsidRPr="00CB513F">
        <w:rPr>
          <w:rFonts w:ascii="Arial" w:hAnsi="Arial" w:cs="Arial"/>
          <w:sz w:val="24"/>
          <w:szCs w:val="24"/>
        </w:rPr>
        <w:t>INA</w:t>
      </w:r>
      <w:r w:rsidRPr="00CB513F">
        <w:rPr>
          <w:rFonts w:ascii="Arial" w:hAnsi="Arial" w:cs="Arial"/>
          <w:sz w:val="24"/>
          <w:szCs w:val="24"/>
          <w:lang w:val="x-none"/>
        </w:rPr>
        <w:t xml:space="preserve"> će nastaviti s provedbom ovrhe na novčanim sredstvima po računu dužnika na temelju osnov</w:t>
      </w:r>
      <w:r w:rsidR="00440104" w:rsidRPr="00CB513F">
        <w:rPr>
          <w:rFonts w:ascii="Arial" w:hAnsi="Arial" w:cs="Arial"/>
          <w:sz w:val="24"/>
          <w:szCs w:val="24"/>
        </w:rPr>
        <w:t>a</w:t>
      </w:r>
      <w:r w:rsidRPr="00CB513F">
        <w:rPr>
          <w:rFonts w:ascii="Arial" w:hAnsi="Arial" w:cs="Arial"/>
          <w:sz w:val="24"/>
          <w:szCs w:val="24"/>
          <w:lang w:val="x-none"/>
        </w:rPr>
        <w:t xml:space="preserve"> za plaćanje koj</w:t>
      </w:r>
      <w:r w:rsidR="00440104" w:rsidRPr="00CB513F">
        <w:rPr>
          <w:rFonts w:ascii="Arial" w:hAnsi="Arial" w:cs="Arial"/>
          <w:sz w:val="24"/>
          <w:szCs w:val="24"/>
        </w:rPr>
        <w:t>a</w:t>
      </w:r>
      <w:r w:rsidRPr="00CB513F">
        <w:rPr>
          <w:rFonts w:ascii="Arial" w:hAnsi="Arial" w:cs="Arial"/>
          <w:sz w:val="24"/>
          <w:szCs w:val="24"/>
          <w:lang w:val="x-none"/>
        </w:rPr>
        <w:t xml:space="preserve"> je prestala izvršavati od primitka rješenja o otvaranju </w:t>
      </w:r>
      <w:proofErr w:type="spellStart"/>
      <w:r w:rsidRPr="00CB513F">
        <w:rPr>
          <w:rFonts w:ascii="Arial" w:hAnsi="Arial" w:cs="Arial"/>
          <w:sz w:val="24"/>
          <w:szCs w:val="24"/>
          <w:lang w:val="x-none"/>
        </w:rPr>
        <w:t>predstečajnog</w:t>
      </w:r>
      <w:proofErr w:type="spellEnd"/>
      <w:r w:rsidRPr="00CB513F">
        <w:rPr>
          <w:rFonts w:ascii="Arial" w:hAnsi="Arial" w:cs="Arial"/>
          <w:sz w:val="24"/>
          <w:szCs w:val="24"/>
          <w:lang w:val="x-none"/>
        </w:rPr>
        <w:t xml:space="preserve"> postupka.</w:t>
      </w:r>
    </w:p>
    <w:p w:rsidR="003C472E" w:rsidRDefault="00086220" w:rsidP="002F305A">
      <w:pPr>
        <w:autoSpaceDE w:val="0"/>
        <w:autoSpaceDN w:val="0"/>
        <w:adjustRightInd w:val="0"/>
        <w:spacing w:before="120" w:after="120" w:line="240" w:lineRule="auto"/>
        <w:ind w:firstLine="708"/>
        <w:jc w:val="both"/>
        <w:rPr>
          <w:rFonts w:ascii="Arial" w:hAnsi="Arial" w:cs="Arial"/>
          <w:sz w:val="24"/>
          <w:szCs w:val="24"/>
        </w:rPr>
      </w:pPr>
      <w:r w:rsidRPr="00CB513F">
        <w:rPr>
          <w:rFonts w:ascii="Arial" w:hAnsi="Arial" w:cs="Arial"/>
          <w:sz w:val="24"/>
          <w:szCs w:val="24"/>
          <w:lang w:val="x-none"/>
        </w:rPr>
        <w:t>Iznimno, F</w:t>
      </w:r>
      <w:r w:rsidR="002F305A" w:rsidRPr="00CB513F">
        <w:rPr>
          <w:rFonts w:ascii="Arial" w:hAnsi="Arial" w:cs="Arial"/>
          <w:sz w:val="24"/>
          <w:szCs w:val="24"/>
        </w:rPr>
        <w:t>INA</w:t>
      </w:r>
      <w:r w:rsidRPr="00CB513F">
        <w:rPr>
          <w:rFonts w:ascii="Arial" w:hAnsi="Arial" w:cs="Arial"/>
          <w:sz w:val="24"/>
          <w:szCs w:val="24"/>
          <w:lang w:val="x-none"/>
        </w:rPr>
        <w:t xml:space="preserve"> neće nastaviti s provedbom ovrhe na novčanim sredstvima po računu dužnika na temelju osnova za plaćanje koje je prestala izvršavati od dana primitka rješenja o otvaranju </w:t>
      </w:r>
      <w:proofErr w:type="spellStart"/>
      <w:r w:rsidRPr="00CB513F">
        <w:rPr>
          <w:rFonts w:ascii="Arial" w:hAnsi="Arial" w:cs="Arial"/>
          <w:sz w:val="24"/>
          <w:szCs w:val="24"/>
          <w:lang w:val="x-none"/>
        </w:rPr>
        <w:t>predstečajnoga</w:t>
      </w:r>
      <w:proofErr w:type="spellEnd"/>
      <w:r w:rsidRPr="00CB513F">
        <w:rPr>
          <w:rFonts w:ascii="Arial" w:hAnsi="Arial" w:cs="Arial"/>
          <w:sz w:val="24"/>
          <w:szCs w:val="24"/>
          <w:lang w:val="x-none"/>
        </w:rPr>
        <w:t xml:space="preserve"> postupka ako je </w:t>
      </w:r>
      <w:proofErr w:type="spellStart"/>
      <w:r w:rsidRPr="00CB513F">
        <w:rPr>
          <w:rFonts w:ascii="Arial" w:hAnsi="Arial" w:cs="Arial"/>
          <w:sz w:val="24"/>
          <w:szCs w:val="24"/>
          <w:lang w:val="x-none"/>
        </w:rPr>
        <w:t>predstečajni</w:t>
      </w:r>
      <w:proofErr w:type="spellEnd"/>
      <w:r w:rsidRPr="00CB513F">
        <w:rPr>
          <w:rFonts w:ascii="Arial" w:hAnsi="Arial" w:cs="Arial"/>
          <w:sz w:val="24"/>
          <w:szCs w:val="24"/>
          <w:lang w:val="x-none"/>
        </w:rPr>
        <w:t xml:space="preserve"> postupak obustavljen jer je dužnik ispunio sve obveze prema vjerovnicima.</w:t>
      </w:r>
    </w:p>
    <w:p w:rsidR="00CB513F" w:rsidRPr="00CB513F" w:rsidRDefault="00CB513F" w:rsidP="002F305A">
      <w:pPr>
        <w:autoSpaceDE w:val="0"/>
        <w:autoSpaceDN w:val="0"/>
        <w:adjustRightInd w:val="0"/>
        <w:spacing w:before="120" w:after="120" w:line="240" w:lineRule="auto"/>
        <w:ind w:firstLine="708"/>
        <w:jc w:val="both"/>
        <w:rPr>
          <w:rFonts w:ascii="Arial" w:hAnsi="Arial" w:cs="Arial"/>
          <w:sz w:val="24"/>
          <w:szCs w:val="24"/>
        </w:rPr>
      </w:pPr>
    </w:p>
    <w:p w:rsidR="00086220" w:rsidRPr="00281FC4" w:rsidRDefault="00281FC4" w:rsidP="00281FC4">
      <w:pPr>
        <w:pStyle w:val="Naslov2"/>
        <w:rPr>
          <w:rFonts w:ascii="Times New Roman" w:hAnsi="Times New Roman" w:cs="Times New Roman"/>
        </w:rPr>
      </w:pPr>
      <w:bookmarkStart w:id="52" w:name="_Toc507067649"/>
      <w:r>
        <w:t>4.8.</w:t>
      </w:r>
      <w:r w:rsidR="00756FDF" w:rsidRPr="00281FC4">
        <w:t xml:space="preserve"> </w:t>
      </w:r>
      <w:r w:rsidR="00086220" w:rsidRPr="00281FC4">
        <w:t>Postupanje F</w:t>
      </w:r>
      <w:r w:rsidR="002F305A" w:rsidRPr="00281FC4">
        <w:t>INA-e</w:t>
      </w:r>
      <w:r w:rsidR="00086220" w:rsidRPr="00281FC4">
        <w:t xml:space="preserve"> s osnovama za plaćanje nakon pravomoćnosti rješenja o potvrdi </w:t>
      </w:r>
      <w:proofErr w:type="spellStart"/>
      <w:r w:rsidR="00086220" w:rsidRPr="00281FC4">
        <w:t>predstečajnog</w:t>
      </w:r>
      <w:proofErr w:type="spellEnd"/>
      <w:r w:rsidR="00086220" w:rsidRPr="00281FC4">
        <w:t xml:space="preserve"> sporazuma</w:t>
      </w:r>
      <w:r w:rsidR="005A7DBE" w:rsidRPr="00CB513F">
        <w:rPr>
          <w:rStyle w:val="Referencafusnote"/>
          <w:rFonts w:cs="Arial"/>
          <w:b w:val="0"/>
          <w:iCs/>
          <w:sz w:val="24"/>
          <w:szCs w:val="24"/>
          <w:lang w:val="x-none"/>
        </w:rPr>
        <w:footnoteReference w:id="270"/>
      </w:r>
      <w:bookmarkEnd w:id="52"/>
    </w:p>
    <w:p w:rsidR="00CB513F" w:rsidRPr="00756FDF" w:rsidRDefault="00CB513F" w:rsidP="00CB513F">
      <w:pPr>
        <w:pStyle w:val="Odlomakpopisa"/>
        <w:autoSpaceDE w:val="0"/>
        <w:autoSpaceDN w:val="0"/>
        <w:adjustRightInd w:val="0"/>
        <w:spacing w:before="120" w:after="120" w:line="240" w:lineRule="auto"/>
        <w:ind w:left="1068"/>
        <w:jc w:val="both"/>
        <w:rPr>
          <w:rFonts w:ascii="Times New Roman" w:hAnsi="Times New Roman" w:cs="Times New Roman"/>
          <w:b/>
          <w:iCs/>
          <w:sz w:val="24"/>
          <w:szCs w:val="24"/>
          <w:lang w:val="x-none"/>
        </w:rPr>
      </w:pPr>
    </w:p>
    <w:p w:rsidR="00086220" w:rsidRPr="00CB513F" w:rsidRDefault="00086220" w:rsidP="00CB513F">
      <w:pPr>
        <w:pStyle w:val="Bezproreda"/>
        <w:ind w:firstLine="708"/>
        <w:jc w:val="both"/>
      </w:pPr>
      <w:r w:rsidRPr="00CB513F">
        <w:t xml:space="preserve">Od dana primitka pravomoćnoga rješenja kojim se potvrđuje </w:t>
      </w:r>
      <w:proofErr w:type="spellStart"/>
      <w:r w:rsidRPr="00CB513F">
        <w:t>predstečajni</w:t>
      </w:r>
      <w:proofErr w:type="spellEnd"/>
      <w:r w:rsidRPr="00CB513F">
        <w:t xml:space="preserve"> sporazum, F</w:t>
      </w:r>
      <w:r w:rsidR="00440104" w:rsidRPr="00CB513F">
        <w:t>INA</w:t>
      </w:r>
      <w:r w:rsidRPr="00CB513F">
        <w:t xml:space="preserve"> neće nastaviti s provedbom ovrhe na novčanim sredstvima po računu dužnika na temelju osnova za plaćanje koje je prestala izvršavati od primitka rješenja o otvaranju </w:t>
      </w:r>
      <w:proofErr w:type="spellStart"/>
      <w:r w:rsidRPr="00CB513F">
        <w:t>predstečajnog</w:t>
      </w:r>
      <w:proofErr w:type="spellEnd"/>
      <w:r w:rsidRPr="00CB513F">
        <w:t xml:space="preserve"> postupka, a eventualno zaplijenjena sredstva po tim osnovama za plaćanje oslobodit će i omogućiti dužniku raspolaganje istima.</w:t>
      </w:r>
    </w:p>
    <w:p w:rsidR="00CB513F" w:rsidRDefault="00CB513F" w:rsidP="00CB513F">
      <w:pPr>
        <w:pStyle w:val="Bezproreda"/>
      </w:pPr>
    </w:p>
    <w:p w:rsidR="00086220" w:rsidRPr="00CB513F" w:rsidRDefault="00086220" w:rsidP="00CB513F">
      <w:pPr>
        <w:pStyle w:val="Bezproreda"/>
        <w:ind w:firstLine="708"/>
        <w:jc w:val="both"/>
      </w:pPr>
      <w:r w:rsidRPr="00CB513F">
        <w:t xml:space="preserve">Osnovu za plaćanje donesenu odnosno izdanu prije otvaranja </w:t>
      </w:r>
      <w:proofErr w:type="spellStart"/>
      <w:r w:rsidRPr="00CB513F">
        <w:t>predstečajnog</w:t>
      </w:r>
      <w:proofErr w:type="spellEnd"/>
      <w:r w:rsidRPr="00CB513F">
        <w:t xml:space="preserve"> postupka, a primljenu nakon potvrde </w:t>
      </w:r>
      <w:proofErr w:type="spellStart"/>
      <w:r w:rsidRPr="00CB513F">
        <w:t>predstečajnoga</w:t>
      </w:r>
      <w:proofErr w:type="spellEnd"/>
      <w:r w:rsidRPr="00CB513F">
        <w:t xml:space="preserve"> sporazuma, F</w:t>
      </w:r>
      <w:r w:rsidR="00440104" w:rsidRPr="00CB513F">
        <w:t>INA</w:t>
      </w:r>
      <w:r w:rsidRPr="00CB513F">
        <w:t xml:space="preserve"> neće evidentirati u Očevidniku redoslijeda osnova za plaćanje, nego će je vratiti podnositelju uz obrazloženje, osim:</w:t>
      </w:r>
    </w:p>
    <w:p w:rsidR="00086220" w:rsidRPr="00CB513F" w:rsidRDefault="00086220" w:rsidP="00CB513F">
      <w:pPr>
        <w:pStyle w:val="Bezproreda"/>
        <w:jc w:val="both"/>
      </w:pPr>
      <w:r w:rsidRPr="00CB513F">
        <w:t>− obračuna neisplaćene plaće, naknade plaće i otpremnine</w:t>
      </w:r>
      <w:r w:rsidR="00440104" w:rsidRPr="00CB513F">
        <w:t>,</w:t>
      </w:r>
    </w:p>
    <w:p w:rsidR="00086220" w:rsidRPr="00CB513F" w:rsidRDefault="00086220" w:rsidP="00CB513F">
      <w:pPr>
        <w:pStyle w:val="Bezproreda"/>
        <w:jc w:val="both"/>
      </w:pPr>
      <w:r w:rsidRPr="00CB513F">
        <w:t>− osnova za plaćanje koje se odnose na mjere osiguranja u kaznenom postupku</w:t>
      </w:r>
      <w:r w:rsidR="00440104" w:rsidRPr="00CB513F">
        <w:t>,</w:t>
      </w:r>
    </w:p>
    <w:p w:rsidR="00086220" w:rsidRDefault="00086220" w:rsidP="00CB513F">
      <w:pPr>
        <w:pStyle w:val="Bezproreda"/>
        <w:jc w:val="both"/>
      </w:pPr>
      <w:r w:rsidRPr="00CB513F">
        <w:t xml:space="preserve">− osnova za plaćanje za koje je povjerenik ili sud ako povjerenik nije imenovan potvrdio da se ovrha treba provesti jer se radi o tražbini na koju </w:t>
      </w:r>
      <w:proofErr w:type="spellStart"/>
      <w:r w:rsidRPr="00CB513F">
        <w:t>predstečajni</w:t>
      </w:r>
      <w:proofErr w:type="spellEnd"/>
      <w:r w:rsidRPr="00CB513F">
        <w:t xml:space="preserve"> postupak ne utječe.</w:t>
      </w:r>
    </w:p>
    <w:p w:rsidR="00CB513F" w:rsidRPr="00CB513F" w:rsidRDefault="00CB513F" w:rsidP="00CB513F">
      <w:pPr>
        <w:pStyle w:val="Bezproreda"/>
        <w:jc w:val="both"/>
      </w:pPr>
    </w:p>
    <w:p w:rsidR="00086220" w:rsidRPr="00CB513F" w:rsidRDefault="00086220" w:rsidP="00CB513F">
      <w:pPr>
        <w:pStyle w:val="Bezproreda"/>
        <w:ind w:firstLine="708"/>
        <w:jc w:val="both"/>
      </w:pPr>
      <w:r w:rsidRPr="00CB513F">
        <w:t xml:space="preserve">Osnovu za plaćanje donesenu odnosno izdanu nakon otvaranja </w:t>
      </w:r>
      <w:proofErr w:type="spellStart"/>
      <w:r w:rsidRPr="00CB513F">
        <w:t>preds</w:t>
      </w:r>
      <w:r w:rsidR="003D4607">
        <w:t>tečajnog</w:t>
      </w:r>
      <w:proofErr w:type="spellEnd"/>
      <w:r w:rsidRPr="00CB513F">
        <w:t xml:space="preserve"> postupka, a primljenu nakon potvrde </w:t>
      </w:r>
      <w:proofErr w:type="spellStart"/>
      <w:r w:rsidRPr="00CB513F">
        <w:t>predstečajnog</w:t>
      </w:r>
      <w:proofErr w:type="spellEnd"/>
      <w:r w:rsidRPr="00CB513F">
        <w:t xml:space="preserve"> sporazuma, F</w:t>
      </w:r>
      <w:r w:rsidR="00440104" w:rsidRPr="00CB513F">
        <w:t>INA</w:t>
      </w:r>
      <w:r w:rsidRPr="00CB513F">
        <w:t xml:space="preserve"> će evidentirati u Očevidniku redoslijeda osnova za plaćanje sukladno zakonu kojim se uređuje provedba ovrhe na novčanim sredstvima.</w:t>
      </w:r>
    </w:p>
    <w:p w:rsidR="00CB513F" w:rsidRDefault="00CB513F" w:rsidP="00CB513F">
      <w:pPr>
        <w:pStyle w:val="Bezproreda"/>
      </w:pPr>
    </w:p>
    <w:p w:rsidR="003C472E" w:rsidRDefault="00086220" w:rsidP="00CB513F">
      <w:pPr>
        <w:pStyle w:val="Bezproreda"/>
        <w:ind w:firstLine="708"/>
        <w:jc w:val="both"/>
      </w:pPr>
      <w:r w:rsidRPr="00CB513F">
        <w:t xml:space="preserve">Ako se na temelju osnove za plaćanje naplati tražbina vjerovnika koja je nastala prije otvaranja </w:t>
      </w:r>
      <w:proofErr w:type="spellStart"/>
      <w:r w:rsidRPr="00CB513F">
        <w:t>predstečajnog</w:t>
      </w:r>
      <w:proofErr w:type="spellEnd"/>
      <w:r w:rsidRPr="00CB513F">
        <w:t xml:space="preserve"> postupka i na koju </w:t>
      </w:r>
      <w:proofErr w:type="spellStart"/>
      <w:r w:rsidRPr="00CB513F">
        <w:t>predstečajni</w:t>
      </w:r>
      <w:proofErr w:type="spellEnd"/>
      <w:r w:rsidRPr="00CB513F">
        <w:t xml:space="preserve"> postupak utječe, dužnik može tražiti proglašenje ovrhe nedopuštenom i povrat prenesenih novčani</w:t>
      </w:r>
      <w:r w:rsidR="003C472E" w:rsidRPr="00CB513F">
        <w:t>h sredstava u posebnoj parnici</w:t>
      </w:r>
      <w:r w:rsidR="00CB513F">
        <w:t>.</w:t>
      </w:r>
    </w:p>
    <w:p w:rsidR="00CB513F" w:rsidRPr="00CB513F" w:rsidRDefault="00CB513F" w:rsidP="00CB513F">
      <w:pPr>
        <w:pStyle w:val="Bezproreda"/>
        <w:ind w:firstLine="708"/>
        <w:jc w:val="both"/>
      </w:pPr>
    </w:p>
    <w:p w:rsidR="00086220" w:rsidRPr="00281FC4" w:rsidRDefault="00281FC4" w:rsidP="00281FC4">
      <w:pPr>
        <w:pStyle w:val="Naslov2"/>
      </w:pPr>
      <w:bookmarkStart w:id="53" w:name="_Toc507067650"/>
      <w:r>
        <w:t>4.9.</w:t>
      </w:r>
      <w:r w:rsidR="00756FDF" w:rsidRPr="00281FC4">
        <w:t xml:space="preserve"> </w:t>
      </w:r>
      <w:r w:rsidR="00086220" w:rsidRPr="00281FC4">
        <w:t>Zastara</w:t>
      </w:r>
      <w:r w:rsidR="005A7DBE" w:rsidRPr="00CB513F">
        <w:rPr>
          <w:rStyle w:val="Referencafusnote"/>
          <w:rFonts w:cs="Arial"/>
          <w:b w:val="0"/>
          <w:iCs/>
          <w:sz w:val="24"/>
          <w:szCs w:val="24"/>
          <w:lang w:val="x-none"/>
        </w:rPr>
        <w:footnoteReference w:id="271"/>
      </w:r>
      <w:bookmarkEnd w:id="53"/>
    </w:p>
    <w:p w:rsidR="00EA002D" w:rsidRPr="00CB513F" w:rsidRDefault="003C472E" w:rsidP="003C472E">
      <w:pPr>
        <w:autoSpaceDE w:val="0"/>
        <w:autoSpaceDN w:val="0"/>
        <w:adjustRightInd w:val="0"/>
        <w:spacing w:before="120" w:after="120" w:line="240" w:lineRule="auto"/>
        <w:jc w:val="both"/>
        <w:rPr>
          <w:rFonts w:ascii="Arial" w:hAnsi="Arial" w:cs="Arial"/>
          <w:sz w:val="24"/>
          <w:szCs w:val="24"/>
        </w:rPr>
      </w:pPr>
      <w:r>
        <w:rPr>
          <w:rFonts w:ascii="Times New Roman" w:hAnsi="Times New Roman" w:cs="Times New Roman"/>
          <w:sz w:val="24"/>
          <w:szCs w:val="24"/>
        </w:rPr>
        <w:tab/>
      </w:r>
      <w:r w:rsidR="00086220" w:rsidRPr="00CB513F">
        <w:rPr>
          <w:rFonts w:ascii="Arial" w:hAnsi="Arial" w:cs="Arial"/>
          <w:sz w:val="24"/>
          <w:szCs w:val="24"/>
          <w:lang w:val="x-none"/>
        </w:rPr>
        <w:t>Prijavom tražbina</w:t>
      </w:r>
      <w:r w:rsidR="00C15B23" w:rsidRPr="00CB513F">
        <w:rPr>
          <w:rFonts w:ascii="Arial" w:hAnsi="Arial" w:cs="Arial"/>
          <w:sz w:val="24"/>
          <w:szCs w:val="24"/>
          <w:lang w:val="x-none"/>
        </w:rPr>
        <w:t xml:space="preserve"> u </w:t>
      </w:r>
      <w:proofErr w:type="spellStart"/>
      <w:r w:rsidR="00C15B23" w:rsidRPr="00CB513F">
        <w:rPr>
          <w:rFonts w:ascii="Arial" w:hAnsi="Arial" w:cs="Arial"/>
          <w:sz w:val="24"/>
          <w:szCs w:val="24"/>
          <w:lang w:val="x-none"/>
        </w:rPr>
        <w:t>predstečajnom</w:t>
      </w:r>
      <w:proofErr w:type="spellEnd"/>
      <w:r w:rsidR="00C15B23" w:rsidRPr="00CB513F">
        <w:rPr>
          <w:rFonts w:ascii="Arial" w:hAnsi="Arial" w:cs="Arial"/>
          <w:sz w:val="24"/>
          <w:szCs w:val="24"/>
          <w:lang w:val="x-none"/>
        </w:rPr>
        <w:t xml:space="preserve"> postupku</w:t>
      </w:r>
      <w:r w:rsidR="00086220" w:rsidRPr="00CB513F">
        <w:rPr>
          <w:rFonts w:ascii="Arial" w:hAnsi="Arial" w:cs="Arial"/>
          <w:sz w:val="24"/>
          <w:szCs w:val="24"/>
          <w:lang w:val="x-none"/>
        </w:rPr>
        <w:t xml:space="preserve">, osim onih na koje </w:t>
      </w:r>
      <w:proofErr w:type="spellStart"/>
      <w:r w:rsidR="00086220" w:rsidRPr="00CB513F">
        <w:rPr>
          <w:rFonts w:ascii="Arial" w:hAnsi="Arial" w:cs="Arial"/>
          <w:sz w:val="24"/>
          <w:szCs w:val="24"/>
          <w:lang w:val="x-none"/>
        </w:rPr>
        <w:t>predstečajni</w:t>
      </w:r>
      <w:proofErr w:type="spellEnd"/>
      <w:r w:rsidR="00086220" w:rsidRPr="00CB513F">
        <w:rPr>
          <w:rFonts w:ascii="Arial" w:hAnsi="Arial" w:cs="Arial"/>
          <w:sz w:val="24"/>
          <w:szCs w:val="24"/>
          <w:lang w:val="x-none"/>
        </w:rPr>
        <w:t xml:space="preserve"> postupak ne utječe, prekida se zastara </w:t>
      </w:r>
      <w:r w:rsidR="00C15B23" w:rsidRPr="00CB513F">
        <w:rPr>
          <w:rFonts w:ascii="Arial" w:hAnsi="Arial" w:cs="Arial"/>
          <w:sz w:val="24"/>
          <w:szCs w:val="24"/>
        </w:rPr>
        <w:t xml:space="preserve">u odnosu na te tražbine </w:t>
      </w:r>
      <w:r w:rsidR="00086220" w:rsidRPr="00CB513F">
        <w:rPr>
          <w:rFonts w:ascii="Arial" w:hAnsi="Arial" w:cs="Arial"/>
          <w:sz w:val="24"/>
          <w:szCs w:val="24"/>
          <w:lang w:val="x-none"/>
        </w:rPr>
        <w:t xml:space="preserve">od dana podnošenja prijave do isteka roka za </w:t>
      </w:r>
      <w:r w:rsidR="00086220" w:rsidRPr="00CB513F">
        <w:rPr>
          <w:rFonts w:ascii="Arial" w:hAnsi="Arial" w:cs="Arial"/>
          <w:sz w:val="24"/>
          <w:szCs w:val="24"/>
          <w:lang w:val="x-none"/>
        </w:rPr>
        <w:lastRenderedPageBreak/>
        <w:t xml:space="preserve">isplatu koji je određen u </w:t>
      </w:r>
      <w:proofErr w:type="spellStart"/>
      <w:r w:rsidR="00086220" w:rsidRPr="00CB513F">
        <w:rPr>
          <w:rFonts w:ascii="Arial" w:hAnsi="Arial" w:cs="Arial"/>
          <w:sz w:val="24"/>
          <w:szCs w:val="24"/>
          <w:lang w:val="x-none"/>
        </w:rPr>
        <w:t>predstečajnom</w:t>
      </w:r>
      <w:proofErr w:type="spellEnd"/>
      <w:r w:rsidR="00086220" w:rsidRPr="00CB513F">
        <w:rPr>
          <w:rFonts w:ascii="Arial" w:hAnsi="Arial" w:cs="Arial"/>
          <w:sz w:val="24"/>
          <w:szCs w:val="24"/>
          <w:lang w:val="x-none"/>
        </w:rPr>
        <w:t xml:space="preserve"> sporazumu, a ako se </w:t>
      </w:r>
      <w:proofErr w:type="spellStart"/>
      <w:r w:rsidR="00086220" w:rsidRPr="00CB513F">
        <w:rPr>
          <w:rFonts w:ascii="Arial" w:hAnsi="Arial" w:cs="Arial"/>
          <w:sz w:val="24"/>
          <w:szCs w:val="24"/>
          <w:lang w:val="x-none"/>
        </w:rPr>
        <w:t>predstečajni</w:t>
      </w:r>
      <w:proofErr w:type="spellEnd"/>
      <w:r w:rsidR="00086220" w:rsidRPr="00CB513F">
        <w:rPr>
          <w:rFonts w:ascii="Arial" w:hAnsi="Arial" w:cs="Arial"/>
          <w:sz w:val="24"/>
          <w:szCs w:val="24"/>
          <w:lang w:val="x-none"/>
        </w:rPr>
        <w:t xml:space="preserve"> sporazum ne potvrdi, do pravomoćnosti rješenja o obustavi </w:t>
      </w:r>
      <w:proofErr w:type="spellStart"/>
      <w:r w:rsidR="00086220" w:rsidRPr="00CB513F">
        <w:rPr>
          <w:rFonts w:ascii="Arial" w:hAnsi="Arial" w:cs="Arial"/>
          <w:sz w:val="24"/>
          <w:szCs w:val="24"/>
          <w:lang w:val="x-none"/>
        </w:rPr>
        <w:t>predstečajnog</w:t>
      </w:r>
      <w:proofErr w:type="spellEnd"/>
      <w:r w:rsidRPr="00CB513F">
        <w:rPr>
          <w:rFonts w:ascii="Arial" w:hAnsi="Arial" w:cs="Arial"/>
          <w:sz w:val="24"/>
          <w:szCs w:val="24"/>
          <w:lang w:val="x-none"/>
        </w:rPr>
        <w:t xml:space="preserve"> postupka.</w:t>
      </w:r>
      <w:r w:rsidR="00C15B23" w:rsidRPr="00CB513F">
        <w:rPr>
          <w:rFonts w:ascii="Arial" w:hAnsi="Arial" w:cs="Arial"/>
          <w:sz w:val="24"/>
          <w:szCs w:val="24"/>
        </w:rPr>
        <w:t xml:space="preserve"> </w:t>
      </w:r>
    </w:p>
    <w:p w:rsidR="00F413A3" w:rsidRPr="00CB513F" w:rsidRDefault="00EA002D" w:rsidP="00F413A3">
      <w:pPr>
        <w:autoSpaceDE w:val="0"/>
        <w:autoSpaceDN w:val="0"/>
        <w:adjustRightInd w:val="0"/>
        <w:spacing w:before="120" w:after="120" w:line="240" w:lineRule="auto"/>
        <w:jc w:val="both"/>
        <w:rPr>
          <w:rFonts w:ascii="Arial" w:hAnsi="Arial" w:cs="Arial"/>
          <w:sz w:val="24"/>
          <w:szCs w:val="24"/>
        </w:rPr>
      </w:pPr>
      <w:r>
        <w:rPr>
          <w:rFonts w:ascii="Times New Roman" w:hAnsi="Times New Roman" w:cs="Times New Roman"/>
          <w:sz w:val="24"/>
          <w:szCs w:val="24"/>
        </w:rPr>
        <w:tab/>
      </w:r>
      <w:r w:rsidR="00F413A3" w:rsidRPr="00CB513F">
        <w:rPr>
          <w:rFonts w:ascii="Arial" w:hAnsi="Arial" w:cs="Arial"/>
          <w:sz w:val="24"/>
          <w:szCs w:val="24"/>
        </w:rPr>
        <w:t>Vjerovnik nije dužan podnijeti prijavu tražbine ako je dužnik njegovu tražbinu naveo u popisu tražbina. Treba uzeti da se zastara prekida i za tražbinu koju je prijavio dužnik a nije ju posebno prijavio vjerovnik.</w:t>
      </w:r>
      <w:r w:rsidR="00BF5F4F" w:rsidRPr="00CB513F">
        <w:rPr>
          <w:rFonts w:ascii="Arial" w:hAnsi="Arial" w:cs="Arial"/>
          <w:sz w:val="24"/>
          <w:szCs w:val="24"/>
        </w:rPr>
        <w:t xml:space="preserve"> U</w:t>
      </w:r>
      <w:r w:rsidR="00F413A3" w:rsidRPr="00CB513F">
        <w:rPr>
          <w:rFonts w:ascii="Arial" w:hAnsi="Arial" w:cs="Arial"/>
          <w:sz w:val="24"/>
          <w:szCs w:val="24"/>
        </w:rPr>
        <w:t xml:space="preserve"> </w:t>
      </w:r>
      <w:r w:rsidR="00BF5F4F" w:rsidRPr="00CB513F">
        <w:rPr>
          <w:rFonts w:ascii="Arial" w:hAnsi="Arial" w:cs="Arial"/>
          <w:sz w:val="24"/>
          <w:szCs w:val="24"/>
        </w:rPr>
        <w:t xml:space="preserve">tom slučaju </w:t>
      </w:r>
      <w:r w:rsidR="00F413A3" w:rsidRPr="00CB513F">
        <w:rPr>
          <w:rFonts w:ascii="Arial" w:hAnsi="Arial" w:cs="Arial"/>
          <w:sz w:val="24"/>
          <w:szCs w:val="24"/>
        </w:rPr>
        <w:t xml:space="preserve">zastara </w:t>
      </w:r>
      <w:r w:rsidR="00BF5F4F" w:rsidRPr="00CB513F">
        <w:rPr>
          <w:rFonts w:ascii="Arial" w:hAnsi="Arial" w:cs="Arial"/>
          <w:sz w:val="24"/>
          <w:szCs w:val="24"/>
        </w:rPr>
        <w:t xml:space="preserve">se </w:t>
      </w:r>
      <w:r w:rsidR="00F413A3" w:rsidRPr="00CB513F">
        <w:rPr>
          <w:rFonts w:ascii="Arial" w:hAnsi="Arial" w:cs="Arial"/>
          <w:sz w:val="24"/>
          <w:szCs w:val="24"/>
        </w:rPr>
        <w:t xml:space="preserve">prekida podnošenjem prijedloga za otvaranje </w:t>
      </w:r>
      <w:proofErr w:type="spellStart"/>
      <w:r w:rsidR="00F413A3" w:rsidRPr="00CB513F">
        <w:rPr>
          <w:rFonts w:ascii="Arial" w:hAnsi="Arial" w:cs="Arial"/>
          <w:sz w:val="24"/>
          <w:szCs w:val="24"/>
        </w:rPr>
        <w:t>predstečajnoga</w:t>
      </w:r>
      <w:proofErr w:type="spellEnd"/>
      <w:r w:rsidR="00F413A3" w:rsidRPr="00CB513F">
        <w:rPr>
          <w:rFonts w:ascii="Arial" w:hAnsi="Arial" w:cs="Arial"/>
          <w:sz w:val="24"/>
          <w:szCs w:val="24"/>
        </w:rPr>
        <w:t xml:space="preserve"> postupka budući da je dužnik u njemu priznao tražbinu vjerovniku.</w:t>
      </w:r>
    </w:p>
    <w:p w:rsidR="00756FDF" w:rsidRDefault="00F413A3" w:rsidP="00756FDF">
      <w:pPr>
        <w:autoSpaceDE w:val="0"/>
        <w:autoSpaceDN w:val="0"/>
        <w:adjustRightInd w:val="0"/>
        <w:spacing w:before="120" w:after="120" w:line="240" w:lineRule="auto"/>
        <w:jc w:val="both"/>
        <w:rPr>
          <w:rFonts w:ascii="Arial" w:hAnsi="Arial" w:cs="Arial"/>
          <w:sz w:val="24"/>
          <w:szCs w:val="24"/>
        </w:rPr>
      </w:pPr>
      <w:r w:rsidRPr="00CB513F">
        <w:rPr>
          <w:rFonts w:ascii="Arial" w:hAnsi="Arial" w:cs="Arial"/>
          <w:sz w:val="24"/>
          <w:szCs w:val="24"/>
        </w:rPr>
        <w:tab/>
      </w:r>
      <w:r w:rsidR="00EA002D" w:rsidRPr="00CB513F">
        <w:rPr>
          <w:rFonts w:ascii="Arial" w:hAnsi="Arial" w:cs="Arial"/>
          <w:sz w:val="24"/>
          <w:szCs w:val="24"/>
        </w:rPr>
        <w:t xml:space="preserve">Postavlja se pitanje što je sa zastarom ako sud otvori </w:t>
      </w:r>
      <w:proofErr w:type="spellStart"/>
      <w:r w:rsidR="00EA002D" w:rsidRPr="00CB513F">
        <w:rPr>
          <w:rFonts w:ascii="Arial" w:hAnsi="Arial" w:cs="Arial"/>
          <w:sz w:val="24"/>
          <w:szCs w:val="24"/>
        </w:rPr>
        <w:t>predstečajni</w:t>
      </w:r>
      <w:proofErr w:type="spellEnd"/>
      <w:r w:rsidR="00EA002D" w:rsidRPr="00CB513F">
        <w:rPr>
          <w:rFonts w:ascii="Arial" w:hAnsi="Arial" w:cs="Arial"/>
          <w:sz w:val="24"/>
          <w:szCs w:val="24"/>
        </w:rPr>
        <w:t xml:space="preserve"> postupak i vjerovnici prijave tražbine po pozivu suda, a sud </w:t>
      </w:r>
      <w:r w:rsidRPr="00CB513F">
        <w:rPr>
          <w:rFonts w:ascii="Arial" w:hAnsi="Arial" w:cs="Arial"/>
          <w:sz w:val="24"/>
          <w:szCs w:val="24"/>
        </w:rPr>
        <w:t xml:space="preserve">nakon prijave tražbina </w:t>
      </w:r>
      <w:r w:rsidR="00EA002D" w:rsidRPr="00CB513F">
        <w:rPr>
          <w:rFonts w:ascii="Arial" w:hAnsi="Arial" w:cs="Arial"/>
          <w:sz w:val="24"/>
          <w:szCs w:val="24"/>
        </w:rPr>
        <w:t xml:space="preserve">prijedlog odbaci (npr. iz razloga što dužnik u popisu imovine i obveza nije naveo sve postupke koji se vode pred sudom ili javnopravnim tijelom iako je znao ili morao znati za njegovo postojanje). Na odgovarajući način trebalo bi primijeniti odredbu da od dana </w:t>
      </w:r>
      <w:r w:rsidR="00EA002D" w:rsidRPr="00CB513F">
        <w:rPr>
          <w:rFonts w:ascii="Arial" w:hAnsi="Arial" w:cs="Arial"/>
          <w:sz w:val="24"/>
          <w:szCs w:val="24"/>
          <w:lang w:val="x-none"/>
        </w:rPr>
        <w:t xml:space="preserve">podnošenja prijave </w:t>
      </w:r>
      <w:r w:rsidR="00FD7FE7" w:rsidRPr="00CB513F">
        <w:rPr>
          <w:rFonts w:ascii="Arial" w:hAnsi="Arial" w:cs="Arial"/>
          <w:sz w:val="24"/>
          <w:szCs w:val="24"/>
        </w:rPr>
        <w:t xml:space="preserve">tražbine </w:t>
      </w:r>
      <w:r w:rsidR="00EA002D" w:rsidRPr="00CB513F">
        <w:rPr>
          <w:rFonts w:ascii="Arial" w:hAnsi="Arial" w:cs="Arial"/>
          <w:sz w:val="24"/>
          <w:szCs w:val="24"/>
        </w:rPr>
        <w:t xml:space="preserve">do odbačaja prijedloga </w:t>
      </w:r>
      <w:r w:rsidR="00FD7FE7" w:rsidRPr="00CB513F">
        <w:rPr>
          <w:rFonts w:ascii="Arial" w:hAnsi="Arial" w:cs="Arial"/>
          <w:sz w:val="24"/>
          <w:szCs w:val="24"/>
        </w:rPr>
        <w:t xml:space="preserve">za otvaranje </w:t>
      </w:r>
      <w:proofErr w:type="spellStart"/>
      <w:r w:rsidR="00FD7FE7" w:rsidRPr="00CB513F">
        <w:rPr>
          <w:rFonts w:ascii="Arial" w:hAnsi="Arial" w:cs="Arial"/>
          <w:sz w:val="24"/>
          <w:szCs w:val="24"/>
        </w:rPr>
        <w:t>predstečajnog</w:t>
      </w:r>
      <w:proofErr w:type="spellEnd"/>
      <w:r w:rsidR="00FD7FE7" w:rsidRPr="00CB513F">
        <w:rPr>
          <w:rFonts w:ascii="Arial" w:hAnsi="Arial" w:cs="Arial"/>
          <w:sz w:val="24"/>
          <w:szCs w:val="24"/>
        </w:rPr>
        <w:t xml:space="preserve"> postupka </w:t>
      </w:r>
      <w:r w:rsidR="00EA002D" w:rsidRPr="00CB513F">
        <w:rPr>
          <w:rFonts w:ascii="Arial" w:hAnsi="Arial" w:cs="Arial"/>
          <w:sz w:val="24"/>
          <w:szCs w:val="24"/>
        </w:rPr>
        <w:t>zastara u odnosu na te tražbine se prekida.</w:t>
      </w:r>
    </w:p>
    <w:p w:rsidR="00CB513F" w:rsidRPr="00CB513F" w:rsidRDefault="00CB513F" w:rsidP="00756FDF">
      <w:pPr>
        <w:autoSpaceDE w:val="0"/>
        <w:autoSpaceDN w:val="0"/>
        <w:adjustRightInd w:val="0"/>
        <w:spacing w:before="120" w:after="120" w:line="240" w:lineRule="auto"/>
        <w:jc w:val="both"/>
        <w:rPr>
          <w:rFonts w:ascii="Arial" w:hAnsi="Arial" w:cs="Arial"/>
          <w:sz w:val="24"/>
          <w:szCs w:val="24"/>
        </w:rPr>
      </w:pPr>
    </w:p>
    <w:p w:rsidR="00086220" w:rsidRPr="00281FC4" w:rsidRDefault="00281FC4" w:rsidP="00281FC4">
      <w:pPr>
        <w:pStyle w:val="Naslov2"/>
      </w:pPr>
      <w:bookmarkStart w:id="54" w:name="_Toc507067651"/>
      <w:r>
        <w:t>4.10.</w:t>
      </w:r>
      <w:r w:rsidR="00756FDF" w:rsidRPr="00281FC4">
        <w:t xml:space="preserve"> </w:t>
      </w:r>
      <w:r w:rsidR="00086220" w:rsidRPr="00281FC4">
        <w:t>Umanjenje utvrđenih tražbina</w:t>
      </w:r>
      <w:r w:rsidR="005A7DBE" w:rsidRPr="00CB513F">
        <w:rPr>
          <w:rStyle w:val="Referencafusnote"/>
          <w:rFonts w:cs="Arial"/>
          <w:b w:val="0"/>
          <w:iCs/>
          <w:sz w:val="24"/>
          <w:szCs w:val="24"/>
          <w:lang w:val="x-none"/>
        </w:rPr>
        <w:footnoteReference w:id="272"/>
      </w:r>
      <w:bookmarkEnd w:id="54"/>
    </w:p>
    <w:p w:rsidR="00CB513F" w:rsidRPr="00CB513F" w:rsidRDefault="00CB513F" w:rsidP="00CB513F">
      <w:pPr>
        <w:pStyle w:val="Odlomakpopisa"/>
        <w:autoSpaceDE w:val="0"/>
        <w:autoSpaceDN w:val="0"/>
        <w:adjustRightInd w:val="0"/>
        <w:spacing w:before="120" w:after="120" w:line="240" w:lineRule="auto"/>
        <w:ind w:left="1068"/>
        <w:jc w:val="both"/>
        <w:rPr>
          <w:rFonts w:ascii="Arial" w:hAnsi="Arial" w:cs="Arial"/>
          <w:b/>
          <w:sz w:val="24"/>
          <w:szCs w:val="24"/>
        </w:rPr>
      </w:pPr>
    </w:p>
    <w:p w:rsidR="00086220" w:rsidRPr="00CB513F" w:rsidRDefault="003C472E" w:rsidP="00086220">
      <w:pPr>
        <w:autoSpaceDE w:val="0"/>
        <w:autoSpaceDN w:val="0"/>
        <w:adjustRightInd w:val="0"/>
        <w:spacing w:before="120" w:after="120" w:line="240" w:lineRule="auto"/>
        <w:jc w:val="both"/>
        <w:rPr>
          <w:rFonts w:ascii="Arial" w:hAnsi="Arial" w:cs="Arial"/>
          <w:sz w:val="24"/>
          <w:szCs w:val="24"/>
          <w:lang w:val="x-none"/>
        </w:rPr>
      </w:pPr>
      <w:r>
        <w:rPr>
          <w:rFonts w:ascii="Times New Roman" w:hAnsi="Times New Roman" w:cs="Times New Roman"/>
          <w:sz w:val="24"/>
          <w:szCs w:val="24"/>
        </w:rPr>
        <w:tab/>
      </w:r>
      <w:r w:rsidR="00086220" w:rsidRPr="00CB513F">
        <w:rPr>
          <w:rFonts w:ascii="Arial" w:hAnsi="Arial" w:cs="Arial"/>
          <w:sz w:val="24"/>
          <w:szCs w:val="24"/>
          <w:lang w:val="x-none"/>
        </w:rPr>
        <w:t xml:space="preserve">Pod utvrđenom tražbinom, u smislu ovoga Zakona, podrazumijevaju se glavni dug i kamate dospjele na dan otvaranja </w:t>
      </w:r>
      <w:proofErr w:type="spellStart"/>
      <w:r w:rsidR="00086220" w:rsidRPr="00CB513F">
        <w:rPr>
          <w:rFonts w:ascii="Arial" w:hAnsi="Arial" w:cs="Arial"/>
          <w:sz w:val="24"/>
          <w:szCs w:val="24"/>
          <w:lang w:val="x-none"/>
        </w:rPr>
        <w:t>predstečajnog</w:t>
      </w:r>
      <w:proofErr w:type="spellEnd"/>
      <w:r w:rsidR="00086220" w:rsidRPr="00CB513F">
        <w:rPr>
          <w:rFonts w:ascii="Arial" w:hAnsi="Arial" w:cs="Arial"/>
          <w:sz w:val="24"/>
          <w:szCs w:val="24"/>
          <w:lang w:val="x-none"/>
        </w:rPr>
        <w:t xml:space="preserve"> postupka, a ako je tražbina sadržana u ovršnoj ispravi, pod utvrđenom tražbinom podrazumijeva se cjelokupni iznos naveden u toj ispravi.</w:t>
      </w:r>
    </w:p>
    <w:p w:rsidR="00C15B23" w:rsidRDefault="003C472E" w:rsidP="003C472E">
      <w:pPr>
        <w:autoSpaceDE w:val="0"/>
        <w:autoSpaceDN w:val="0"/>
        <w:adjustRightInd w:val="0"/>
        <w:spacing w:before="120" w:after="120" w:line="240" w:lineRule="auto"/>
        <w:jc w:val="both"/>
        <w:rPr>
          <w:rFonts w:ascii="Arial" w:hAnsi="Arial" w:cs="Arial"/>
          <w:sz w:val="24"/>
          <w:szCs w:val="24"/>
        </w:rPr>
      </w:pPr>
      <w:r w:rsidRPr="00CB513F">
        <w:rPr>
          <w:rFonts w:ascii="Arial" w:hAnsi="Arial" w:cs="Arial"/>
          <w:sz w:val="24"/>
          <w:szCs w:val="24"/>
        </w:rPr>
        <w:tab/>
      </w:r>
      <w:r w:rsidR="00086220" w:rsidRPr="00CB513F">
        <w:rPr>
          <w:rFonts w:ascii="Arial" w:hAnsi="Arial" w:cs="Arial"/>
          <w:sz w:val="24"/>
          <w:szCs w:val="24"/>
          <w:lang w:val="x-none"/>
        </w:rPr>
        <w:t xml:space="preserve">Ako je </w:t>
      </w:r>
      <w:proofErr w:type="spellStart"/>
      <w:r w:rsidR="00086220" w:rsidRPr="00CB513F">
        <w:rPr>
          <w:rFonts w:ascii="Arial" w:hAnsi="Arial" w:cs="Arial"/>
          <w:sz w:val="24"/>
          <w:szCs w:val="24"/>
          <w:lang w:val="x-none"/>
        </w:rPr>
        <w:t>predstečajnim</w:t>
      </w:r>
      <w:proofErr w:type="spellEnd"/>
      <w:r w:rsidR="00086220" w:rsidRPr="00CB513F">
        <w:rPr>
          <w:rFonts w:ascii="Arial" w:hAnsi="Arial" w:cs="Arial"/>
          <w:sz w:val="24"/>
          <w:szCs w:val="24"/>
          <w:lang w:val="x-none"/>
        </w:rPr>
        <w:t xml:space="preserve"> sporazumom određeno da se tražbine isplate u smanjenom iznosu, postotak koji se isplaćuje prema </w:t>
      </w:r>
      <w:proofErr w:type="spellStart"/>
      <w:r w:rsidR="00086220" w:rsidRPr="00CB513F">
        <w:rPr>
          <w:rFonts w:ascii="Arial" w:hAnsi="Arial" w:cs="Arial"/>
          <w:sz w:val="24"/>
          <w:szCs w:val="24"/>
          <w:lang w:val="x-none"/>
        </w:rPr>
        <w:t>predstečajnom</w:t>
      </w:r>
      <w:proofErr w:type="spellEnd"/>
      <w:r w:rsidR="00086220" w:rsidRPr="00CB513F">
        <w:rPr>
          <w:rFonts w:ascii="Arial" w:hAnsi="Arial" w:cs="Arial"/>
          <w:sz w:val="24"/>
          <w:szCs w:val="24"/>
          <w:lang w:val="x-none"/>
        </w:rPr>
        <w:t xml:space="preserve"> sporazumu obračunava se na cijeli iznos utvrđene tražbine</w:t>
      </w:r>
      <w:r w:rsidRPr="00CB513F">
        <w:rPr>
          <w:rFonts w:ascii="Arial" w:hAnsi="Arial" w:cs="Arial"/>
          <w:sz w:val="24"/>
          <w:szCs w:val="24"/>
          <w:lang w:val="x-none"/>
        </w:rPr>
        <w:t xml:space="preserve"> </w:t>
      </w:r>
      <w:r w:rsidR="00C15B23" w:rsidRPr="00CB513F">
        <w:rPr>
          <w:rFonts w:ascii="Arial" w:hAnsi="Arial" w:cs="Arial"/>
          <w:sz w:val="24"/>
          <w:szCs w:val="24"/>
        </w:rPr>
        <w:t>(glavni dug i kamate).</w:t>
      </w:r>
    </w:p>
    <w:p w:rsidR="00CB513F" w:rsidRPr="00CB513F" w:rsidRDefault="00CB513F" w:rsidP="003C472E">
      <w:pPr>
        <w:autoSpaceDE w:val="0"/>
        <w:autoSpaceDN w:val="0"/>
        <w:adjustRightInd w:val="0"/>
        <w:spacing w:before="120" w:after="120" w:line="240" w:lineRule="auto"/>
        <w:jc w:val="both"/>
        <w:rPr>
          <w:rFonts w:ascii="Arial" w:hAnsi="Arial" w:cs="Arial"/>
          <w:sz w:val="24"/>
          <w:szCs w:val="24"/>
        </w:rPr>
      </w:pPr>
    </w:p>
    <w:p w:rsidR="00086220" w:rsidRPr="00281FC4" w:rsidRDefault="00281FC4" w:rsidP="00281FC4">
      <w:pPr>
        <w:pStyle w:val="Naslov2"/>
      </w:pPr>
      <w:bookmarkStart w:id="55" w:name="_Toc507067652"/>
      <w:r>
        <w:t xml:space="preserve">4.11. </w:t>
      </w:r>
      <w:r w:rsidR="00086220" w:rsidRPr="00281FC4">
        <w:t>Pravo na kamate</w:t>
      </w:r>
      <w:r w:rsidR="005A7DBE" w:rsidRPr="009E1D5E">
        <w:rPr>
          <w:rStyle w:val="Referencafusnote"/>
          <w:rFonts w:cs="Arial"/>
          <w:b w:val="0"/>
          <w:iCs/>
          <w:sz w:val="24"/>
          <w:szCs w:val="24"/>
          <w:lang w:val="x-none"/>
        </w:rPr>
        <w:footnoteReference w:id="273"/>
      </w:r>
      <w:bookmarkEnd w:id="55"/>
    </w:p>
    <w:p w:rsidR="00CB513F" w:rsidRPr="00BF5F4F" w:rsidRDefault="00CB513F" w:rsidP="00CB513F">
      <w:pPr>
        <w:pStyle w:val="Odlomakpopisa"/>
        <w:autoSpaceDE w:val="0"/>
        <w:autoSpaceDN w:val="0"/>
        <w:adjustRightInd w:val="0"/>
        <w:spacing w:before="120" w:after="120" w:line="240" w:lineRule="auto"/>
        <w:ind w:left="1128"/>
        <w:jc w:val="both"/>
        <w:rPr>
          <w:rFonts w:ascii="Times New Roman" w:hAnsi="Times New Roman" w:cs="Times New Roman"/>
          <w:b/>
          <w:sz w:val="24"/>
          <w:szCs w:val="24"/>
          <w:lang w:val="x-none"/>
        </w:rPr>
      </w:pPr>
    </w:p>
    <w:p w:rsidR="00086220" w:rsidRPr="00CB513F" w:rsidRDefault="003C472E" w:rsidP="00086220">
      <w:pPr>
        <w:autoSpaceDE w:val="0"/>
        <w:autoSpaceDN w:val="0"/>
        <w:adjustRightInd w:val="0"/>
        <w:spacing w:before="120" w:after="120" w:line="240" w:lineRule="auto"/>
        <w:jc w:val="both"/>
        <w:rPr>
          <w:rFonts w:ascii="Arial" w:hAnsi="Arial" w:cs="Arial"/>
          <w:sz w:val="24"/>
          <w:szCs w:val="24"/>
          <w:lang w:val="x-none"/>
        </w:rPr>
      </w:pPr>
      <w:r>
        <w:rPr>
          <w:rFonts w:ascii="Times New Roman" w:hAnsi="Times New Roman" w:cs="Times New Roman"/>
          <w:sz w:val="24"/>
          <w:szCs w:val="24"/>
        </w:rPr>
        <w:tab/>
      </w:r>
      <w:r w:rsidR="00CB513F">
        <w:rPr>
          <w:rFonts w:ascii="Arial" w:hAnsi="Arial" w:cs="Arial"/>
          <w:sz w:val="24"/>
          <w:szCs w:val="24"/>
          <w:lang w:val="x-none"/>
        </w:rPr>
        <w:t xml:space="preserve">Od dana otvaranja </w:t>
      </w:r>
      <w:proofErr w:type="spellStart"/>
      <w:r w:rsidR="00CB513F">
        <w:rPr>
          <w:rFonts w:ascii="Arial" w:hAnsi="Arial" w:cs="Arial"/>
          <w:sz w:val="24"/>
          <w:szCs w:val="24"/>
          <w:lang w:val="x-none"/>
        </w:rPr>
        <w:t>predstečajnog</w:t>
      </w:r>
      <w:proofErr w:type="spellEnd"/>
      <w:r w:rsidR="00086220" w:rsidRPr="00CB513F">
        <w:rPr>
          <w:rFonts w:ascii="Arial" w:hAnsi="Arial" w:cs="Arial"/>
          <w:sz w:val="24"/>
          <w:szCs w:val="24"/>
          <w:lang w:val="x-none"/>
        </w:rPr>
        <w:t xml:space="preserve"> postupka do njegova završetka kamate ne teku, osim na tražbine na koje </w:t>
      </w:r>
      <w:proofErr w:type="spellStart"/>
      <w:r w:rsidR="00086220" w:rsidRPr="00CB513F">
        <w:rPr>
          <w:rFonts w:ascii="Arial" w:hAnsi="Arial" w:cs="Arial"/>
          <w:sz w:val="24"/>
          <w:szCs w:val="24"/>
          <w:lang w:val="x-none"/>
        </w:rPr>
        <w:t>predstečajni</w:t>
      </w:r>
      <w:proofErr w:type="spellEnd"/>
      <w:r w:rsidR="00086220" w:rsidRPr="00CB513F">
        <w:rPr>
          <w:rFonts w:ascii="Arial" w:hAnsi="Arial" w:cs="Arial"/>
          <w:sz w:val="24"/>
          <w:szCs w:val="24"/>
          <w:lang w:val="x-none"/>
        </w:rPr>
        <w:t xml:space="preserve"> postupak ne utječe.</w:t>
      </w:r>
    </w:p>
    <w:p w:rsidR="00086220" w:rsidRPr="00CB513F" w:rsidRDefault="003C472E" w:rsidP="00086220">
      <w:pPr>
        <w:autoSpaceDE w:val="0"/>
        <w:autoSpaceDN w:val="0"/>
        <w:adjustRightInd w:val="0"/>
        <w:spacing w:before="120" w:after="120" w:line="240" w:lineRule="auto"/>
        <w:jc w:val="both"/>
        <w:rPr>
          <w:rFonts w:ascii="Arial" w:hAnsi="Arial" w:cs="Arial"/>
          <w:sz w:val="24"/>
          <w:szCs w:val="24"/>
        </w:rPr>
      </w:pPr>
      <w:r w:rsidRPr="00CB513F">
        <w:rPr>
          <w:rFonts w:ascii="Arial" w:hAnsi="Arial" w:cs="Arial"/>
          <w:sz w:val="24"/>
          <w:szCs w:val="24"/>
        </w:rPr>
        <w:tab/>
      </w:r>
      <w:r w:rsidR="00C15B23" w:rsidRPr="00CB513F">
        <w:rPr>
          <w:rFonts w:ascii="Arial" w:hAnsi="Arial" w:cs="Arial"/>
          <w:sz w:val="24"/>
          <w:szCs w:val="24"/>
        </w:rPr>
        <w:t>A</w:t>
      </w:r>
      <w:proofErr w:type="spellStart"/>
      <w:r w:rsidR="00086220" w:rsidRPr="00CB513F">
        <w:rPr>
          <w:rFonts w:ascii="Arial" w:hAnsi="Arial" w:cs="Arial"/>
          <w:sz w:val="24"/>
          <w:szCs w:val="24"/>
          <w:lang w:val="x-none"/>
        </w:rPr>
        <w:t>ko</w:t>
      </w:r>
      <w:proofErr w:type="spellEnd"/>
      <w:r w:rsidR="00086220" w:rsidRPr="00CB513F">
        <w:rPr>
          <w:rFonts w:ascii="Arial" w:hAnsi="Arial" w:cs="Arial"/>
          <w:sz w:val="24"/>
          <w:szCs w:val="24"/>
          <w:lang w:val="x-none"/>
        </w:rPr>
        <w:t xml:space="preserve"> </w:t>
      </w:r>
      <w:proofErr w:type="spellStart"/>
      <w:r w:rsidR="00086220" w:rsidRPr="00CB513F">
        <w:rPr>
          <w:rFonts w:ascii="Arial" w:hAnsi="Arial" w:cs="Arial"/>
          <w:sz w:val="24"/>
          <w:szCs w:val="24"/>
          <w:lang w:val="x-none"/>
        </w:rPr>
        <w:t>predstečajni</w:t>
      </w:r>
      <w:proofErr w:type="spellEnd"/>
      <w:r w:rsidR="00086220" w:rsidRPr="00CB513F">
        <w:rPr>
          <w:rFonts w:ascii="Arial" w:hAnsi="Arial" w:cs="Arial"/>
          <w:sz w:val="24"/>
          <w:szCs w:val="24"/>
          <w:lang w:val="x-none"/>
        </w:rPr>
        <w:t xml:space="preserve"> postupak bude obustavljen</w:t>
      </w:r>
      <w:r w:rsidR="00EA002D" w:rsidRPr="00CB513F">
        <w:rPr>
          <w:rFonts w:ascii="Arial" w:hAnsi="Arial" w:cs="Arial"/>
          <w:sz w:val="24"/>
          <w:szCs w:val="24"/>
        </w:rPr>
        <w:t xml:space="preserve"> </w:t>
      </w:r>
      <w:r w:rsidR="00C15B23" w:rsidRPr="00CB513F">
        <w:rPr>
          <w:rFonts w:ascii="Arial" w:hAnsi="Arial" w:cs="Arial"/>
          <w:sz w:val="24"/>
          <w:szCs w:val="24"/>
        </w:rPr>
        <w:t>t</w:t>
      </w:r>
      <w:r w:rsidR="00484F95" w:rsidRPr="00CB513F">
        <w:rPr>
          <w:rFonts w:ascii="Arial" w:hAnsi="Arial" w:cs="Arial"/>
          <w:sz w:val="24"/>
          <w:szCs w:val="24"/>
        </w:rPr>
        <w:t>ada ne važi odredba da kamate ne</w:t>
      </w:r>
      <w:r w:rsidR="00C15B23" w:rsidRPr="00CB513F">
        <w:rPr>
          <w:rFonts w:ascii="Arial" w:hAnsi="Arial" w:cs="Arial"/>
          <w:sz w:val="24"/>
          <w:szCs w:val="24"/>
        </w:rPr>
        <w:t xml:space="preserve"> teku o</w:t>
      </w:r>
      <w:r w:rsidR="00C15B23" w:rsidRPr="00CB513F">
        <w:rPr>
          <w:rFonts w:ascii="Arial" w:hAnsi="Arial" w:cs="Arial"/>
          <w:sz w:val="24"/>
          <w:szCs w:val="24"/>
          <w:lang w:val="x-none"/>
        </w:rPr>
        <w:t xml:space="preserve">d dana otvaranja </w:t>
      </w:r>
      <w:proofErr w:type="spellStart"/>
      <w:r w:rsidR="00C15B23" w:rsidRPr="00CB513F">
        <w:rPr>
          <w:rFonts w:ascii="Arial" w:hAnsi="Arial" w:cs="Arial"/>
          <w:sz w:val="24"/>
          <w:szCs w:val="24"/>
          <w:lang w:val="x-none"/>
        </w:rPr>
        <w:t>predstečajnog</w:t>
      </w:r>
      <w:proofErr w:type="spellEnd"/>
      <w:r w:rsidR="00C15B23" w:rsidRPr="00CB513F">
        <w:rPr>
          <w:rFonts w:ascii="Arial" w:hAnsi="Arial" w:cs="Arial"/>
          <w:sz w:val="24"/>
          <w:szCs w:val="24"/>
          <w:lang w:val="x-none"/>
        </w:rPr>
        <w:t xml:space="preserve"> postupka do njegova završetka</w:t>
      </w:r>
      <w:r w:rsidR="00C15B23" w:rsidRPr="00CB513F">
        <w:rPr>
          <w:rFonts w:ascii="Arial" w:hAnsi="Arial" w:cs="Arial"/>
          <w:sz w:val="24"/>
          <w:szCs w:val="24"/>
        </w:rPr>
        <w:t>,</w:t>
      </w:r>
      <w:r w:rsidR="00C15B23" w:rsidRPr="00CB513F">
        <w:rPr>
          <w:rFonts w:ascii="Arial" w:hAnsi="Arial" w:cs="Arial"/>
          <w:sz w:val="24"/>
          <w:szCs w:val="24"/>
          <w:lang w:val="x-none"/>
        </w:rPr>
        <w:t xml:space="preserve"> </w:t>
      </w:r>
      <w:r w:rsidR="00086220" w:rsidRPr="00CB513F">
        <w:rPr>
          <w:rFonts w:ascii="Arial" w:hAnsi="Arial" w:cs="Arial"/>
          <w:sz w:val="24"/>
          <w:szCs w:val="24"/>
          <w:lang w:val="x-none"/>
        </w:rPr>
        <w:t>osim ako je postupak obustavljen jer je dužnik ispunio sve obveze prema vjerovnicima.</w:t>
      </w:r>
    </w:p>
    <w:p w:rsidR="00BF5F4F" w:rsidRPr="00CB513F" w:rsidRDefault="00BF5F4F" w:rsidP="00086220">
      <w:pPr>
        <w:autoSpaceDE w:val="0"/>
        <w:autoSpaceDN w:val="0"/>
        <w:adjustRightInd w:val="0"/>
        <w:spacing w:before="120" w:after="120" w:line="240" w:lineRule="auto"/>
        <w:jc w:val="both"/>
        <w:rPr>
          <w:rFonts w:ascii="Arial" w:hAnsi="Arial" w:cs="Arial"/>
          <w:sz w:val="24"/>
          <w:szCs w:val="24"/>
        </w:rPr>
      </w:pPr>
      <w:r w:rsidRPr="00CB513F">
        <w:rPr>
          <w:rFonts w:ascii="Arial" w:hAnsi="Arial" w:cs="Arial"/>
          <w:sz w:val="24"/>
          <w:szCs w:val="24"/>
        </w:rPr>
        <w:tab/>
        <w:t>Budući da u Zakonu nije izrijekom riješeno pitanje kamata u slučaju odbačaja prije</w:t>
      </w:r>
      <w:r w:rsidR="008B62AB" w:rsidRPr="00CB513F">
        <w:rPr>
          <w:rFonts w:ascii="Arial" w:hAnsi="Arial" w:cs="Arial"/>
          <w:sz w:val="24"/>
          <w:szCs w:val="24"/>
        </w:rPr>
        <w:t xml:space="preserve">dloga trebalo bi zauzeti stav prema kojemu </w:t>
      </w:r>
      <w:r w:rsidRPr="00CB513F">
        <w:rPr>
          <w:rFonts w:ascii="Arial" w:hAnsi="Arial" w:cs="Arial"/>
          <w:sz w:val="24"/>
          <w:szCs w:val="24"/>
        </w:rPr>
        <w:t xml:space="preserve">odredba da kamate ne teku ne važi i u slučaju odbačaja prijedloga.  </w:t>
      </w:r>
    </w:p>
    <w:p w:rsidR="00FD7FE7" w:rsidRDefault="001B7C9D" w:rsidP="00FD7FE7">
      <w:pPr>
        <w:autoSpaceDE w:val="0"/>
        <w:autoSpaceDN w:val="0"/>
        <w:adjustRightInd w:val="0"/>
        <w:spacing w:before="120" w:after="120" w:line="240" w:lineRule="auto"/>
        <w:jc w:val="both"/>
        <w:rPr>
          <w:rFonts w:ascii="Times New Roman" w:hAnsi="Times New Roman" w:cs="Times New Roman"/>
          <w:sz w:val="24"/>
          <w:szCs w:val="24"/>
          <w:lang w:val="x-none"/>
        </w:rPr>
      </w:pPr>
      <w:r>
        <w:rPr>
          <w:rFonts w:ascii="Times New Roman" w:hAnsi="Times New Roman" w:cs="Times New Roman"/>
          <w:sz w:val="24"/>
          <w:szCs w:val="24"/>
        </w:rPr>
        <w:tab/>
      </w:r>
      <w:r w:rsidR="00EA002D">
        <w:rPr>
          <w:rFonts w:ascii="Times New Roman" w:hAnsi="Times New Roman" w:cs="Times New Roman"/>
          <w:sz w:val="24"/>
          <w:szCs w:val="24"/>
        </w:rPr>
        <w:t xml:space="preserve"> </w:t>
      </w:r>
    </w:p>
    <w:p w:rsidR="001B7C9D" w:rsidRDefault="001B7C9D" w:rsidP="00086220">
      <w:pPr>
        <w:autoSpaceDE w:val="0"/>
        <w:autoSpaceDN w:val="0"/>
        <w:adjustRightInd w:val="0"/>
        <w:spacing w:before="120" w:after="120" w:line="240" w:lineRule="auto"/>
        <w:jc w:val="both"/>
        <w:rPr>
          <w:rFonts w:ascii="Times New Roman" w:hAnsi="Times New Roman" w:cs="Times New Roman"/>
          <w:sz w:val="24"/>
          <w:szCs w:val="24"/>
        </w:rPr>
      </w:pPr>
    </w:p>
    <w:p w:rsidR="00DA400A" w:rsidRDefault="00DA400A" w:rsidP="00086220">
      <w:pPr>
        <w:autoSpaceDE w:val="0"/>
        <w:autoSpaceDN w:val="0"/>
        <w:adjustRightInd w:val="0"/>
        <w:spacing w:before="120" w:after="120" w:line="240" w:lineRule="auto"/>
        <w:jc w:val="both"/>
        <w:rPr>
          <w:rFonts w:ascii="Times New Roman" w:hAnsi="Times New Roman" w:cs="Times New Roman"/>
          <w:sz w:val="24"/>
          <w:szCs w:val="24"/>
        </w:rPr>
      </w:pPr>
    </w:p>
    <w:p w:rsidR="00DA400A" w:rsidRDefault="00DA400A" w:rsidP="00086220">
      <w:pPr>
        <w:autoSpaceDE w:val="0"/>
        <w:autoSpaceDN w:val="0"/>
        <w:adjustRightInd w:val="0"/>
        <w:spacing w:before="120" w:after="120" w:line="240" w:lineRule="auto"/>
        <w:jc w:val="both"/>
        <w:rPr>
          <w:rFonts w:ascii="Times New Roman" w:hAnsi="Times New Roman" w:cs="Times New Roman"/>
          <w:sz w:val="24"/>
          <w:szCs w:val="24"/>
        </w:rPr>
      </w:pPr>
    </w:p>
    <w:p w:rsidR="00DA400A" w:rsidRDefault="00DA400A" w:rsidP="00086220">
      <w:pPr>
        <w:autoSpaceDE w:val="0"/>
        <w:autoSpaceDN w:val="0"/>
        <w:adjustRightInd w:val="0"/>
        <w:spacing w:before="120" w:after="120" w:line="240" w:lineRule="auto"/>
        <w:jc w:val="both"/>
        <w:rPr>
          <w:rFonts w:ascii="Times New Roman" w:hAnsi="Times New Roman" w:cs="Times New Roman"/>
          <w:sz w:val="24"/>
          <w:szCs w:val="24"/>
        </w:rPr>
      </w:pPr>
    </w:p>
    <w:p w:rsidR="00DA400A" w:rsidRDefault="00DA400A" w:rsidP="00086220">
      <w:pPr>
        <w:autoSpaceDE w:val="0"/>
        <w:autoSpaceDN w:val="0"/>
        <w:adjustRightInd w:val="0"/>
        <w:spacing w:before="120" w:after="120" w:line="240" w:lineRule="auto"/>
        <w:jc w:val="both"/>
        <w:rPr>
          <w:rFonts w:ascii="Times New Roman" w:hAnsi="Times New Roman" w:cs="Times New Roman"/>
          <w:sz w:val="24"/>
          <w:szCs w:val="24"/>
        </w:rPr>
      </w:pPr>
    </w:p>
    <w:p w:rsidR="00DA400A" w:rsidRDefault="00DA400A" w:rsidP="00086220">
      <w:pPr>
        <w:autoSpaceDE w:val="0"/>
        <w:autoSpaceDN w:val="0"/>
        <w:adjustRightInd w:val="0"/>
        <w:spacing w:before="120" w:after="120" w:line="240" w:lineRule="auto"/>
        <w:jc w:val="both"/>
        <w:rPr>
          <w:rFonts w:ascii="Times New Roman" w:hAnsi="Times New Roman" w:cs="Times New Roman"/>
          <w:sz w:val="24"/>
          <w:szCs w:val="24"/>
        </w:rPr>
      </w:pPr>
    </w:p>
    <w:p w:rsidR="00DA400A" w:rsidRDefault="00DA400A" w:rsidP="00086220">
      <w:pPr>
        <w:autoSpaceDE w:val="0"/>
        <w:autoSpaceDN w:val="0"/>
        <w:adjustRightInd w:val="0"/>
        <w:spacing w:before="120" w:after="120" w:line="240" w:lineRule="auto"/>
        <w:jc w:val="both"/>
        <w:rPr>
          <w:rFonts w:ascii="Times New Roman" w:hAnsi="Times New Roman" w:cs="Times New Roman"/>
          <w:sz w:val="24"/>
          <w:szCs w:val="24"/>
        </w:rPr>
      </w:pPr>
    </w:p>
    <w:p w:rsidR="00DA400A" w:rsidRDefault="00DA400A" w:rsidP="00086220">
      <w:pPr>
        <w:autoSpaceDE w:val="0"/>
        <w:autoSpaceDN w:val="0"/>
        <w:adjustRightInd w:val="0"/>
        <w:spacing w:before="120" w:after="120" w:line="240" w:lineRule="auto"/>
        <w:jc w:val="both"/>
        <w:rPr>
          <w:rFonts w:ascii="Times New Roman" w:hAnsi="Times New Roman" w:cs="Times New Roman"/>
          <w:sz w:val="24"/>
          <w:szCs w:val="24"/>
        </w:rPr>
      </w:pPr>
    </w:p>
    <w:p w:rsidR="00DA400A" w:rsidRDefault="00DA400A" w:rsidP="00086220">
      <w:pPr>
        <w:autoSpaceDE w:val="0"/>
        <w:autoSpaceDN w:val="0"/>
        <w:adjustRightInd w:val="0"/>
        <w:spacing w:before="120" w:after="120" w:line="240" w:lineRule="auto"/>
        <w:jc w:val="both"/>
        <w:rPr>
          <w:rFonts w:ascii="Times New Roman" w:hAnsi="Times New Roman" w:cs="Times New Roman"/>
          <w:sz w:val="24"/>
          <w:szCs w:val="24"/>
        </w:rPr>
      </w:pPr>
    </w:p>
    <w:p w:rsidR="00DA400A" w:rsidRDefault="00DA400A" w:rsidP="00086220">
      <w:pPr>
        <w:autoSpaceDE w:val="0"/>
        <w:autoSpaceDN w:val="0"/>
        <w:adjustRightInd w:val="0"/>
        <w:spacing w:before="120" w:after="120" w:line="240" w:lineRule="auto"/>
        <w:jc w:val="both"/>
        <w:rPr>
          <w:rFonts w:ascii="Times New Roman" w:hAnsi="Times New Roman" w:cs="Times New Roman"/>
          <w:sz w:val="24"/>
          <w:szCs w:val="24"/>
        </w:rPr>
      </w:pPr>
      <w:bookmarkStart w:id="56" w:name="_GoBack"/>
      <w:bookmarkEnd w:id="56"/>
    </w:p>
    <w:p w:rsidR="00CB513F" w:rsidRPr="009222A1" w:rsidRDefault="00281FC4" w:rsidP="00281FC4">
      <w:pPr>
        <w:pStyle w:val="Naslov1"/>
      </w:pPr>
      <w:bookmarkStart w:id="57" w:name="_Toc507067653"/>
      <w:r w:rsidRPr="009222A1">
        <w:t>LITERATURA:</w:t>
      </w:r>
      <w:bookmarkEnd w:id="57"/>
      <w:r w:rsidRPr="009222A1">
        <w:t xml:space="preserve"> </w:t>
      </w:r>
    </w:p>
    <w:p w:rsidR="0032427D" w:rsidRPr="009222A1" w:rsidRDefault="0032427D" w:rsidP="0032427D">
      <w:pPr>
        <w:pStyle w:val="Bezproreda"/>
        <w:rPr>
          <w:rFonts w:cs="Arial"/>
          <w:szCs w:val="24"/>
        </w:rPr>
      </w:pPr>
      <w:r w:rsidRPr="009222A1">
        <w:rPr>
          <w:rFonts w:cs="Arial"/>
          <w:szCs w:val="24"/>
        </w:rPr>
        <w:tab/>
      </w:r>
    </w:p>
    <w:p w:rsidR="0032427D" w:rsidRPr="009222A1" w:rsidRDefault="0032427D" w:rsidP="0032427D">
      <w:pPr>
        <w:pStyle w:val="Bezproreda"/>
        <w:rPr>
          <w:rFonts w:cs="Arial"/>
          <w:szCs w:val="24"/>
        </w:rPr>
      </w:pPr>
      <w:r w:rsidRPr="009222A1">
        <w:rPr>
          <w:rFonts w:cs="Arial"/>
          <w:szCs w:val="24"/>
        </w:rPr>
        <w:t>-Stečajni zakon („Narodne novine“ broj 71/15)</w:t>
      </w:r>
    </w:p>
    <w:p w:rsidR="0032427D" w:rsidRPr="009222A1" w:rsidRDefault="0032427D" w:rsidP="0032427D">
      <w:pPr>
        <w:pStyle w:val="Bezproreda"/>
        <w:rPr>
          <w:rFonts w:cs="Arial"/>
          <w:szCs w:val="24"/>
        </w:rPr>
      </w:pPr>
      <w:r w:rsidRPr="009222A1">
        <w:rPr>
          <w:rFonts w:cs="Arial"/>
          <w:szCs w:val="24"/>
        </w:rPr>
        <w:t>-Stečajn</w:t>
      </w:r>
      <w:r w:rsidR="005F462D" w:rsidRPr="009222A1">
        <w:rPr>
          <w:rFonts w:cs="Arial"/>
          <w:szCs w:val="24"/>
        </w:rPr>
        <w:t>i</w:t>
      </w:r>
      <w:r w:rsidRPr="009222A1">
        <w:rPr>
          <w:rFonts w:cs="Arial"/>
          <w:szCs w:val="24"/>
        </w:rPr>
        <w:t xml:space="preserve"> zakon („Narodne novine“ broj 44/96, 29/99, 129/00, 123/03, 197/03, 187/04, 82/06, 117/08, 116/10, 25/12, 133/12 i 45/13; dalje: SZ)</w:t>
      </w:r>
    </w:p>
    <w:p w:rsidR="000A6239" w:rsidRPr="009222A1" w:rsidRDefault="000A6239" w:rsidP="0032427D">
      <w:pPr>
        <w:pStyle w:val="Bezproreda"/>
        <w:rPr>
          <w:rFonts w:cs="Arial"/>
          <w:szCs w:val="24"/>
        </w:rPr>
      </w:pPr>
      <w:r w:rsidRPr="009222A1">
        <w:rPr>
          <w:rFonts w:cs="Arial"/>
          <w:szCs w:val="24"/>
        </w:rPr>
        <w:t>- Zakon o izmjenama i dopunama Stečajnog zakona (</w:t>
      </w:r>
      <w:r w:rsidR="00CB513F" w:rsidRPr="009222A1">
        <w:rPr>
          <w:rFonts w:cs="Arial"/>
          <w:szCs w:val="24"/>
        </w:rPr>
        <w:t>„</w:t>
      </w:r>
      <w:r w:rsidRPr="009222A1">
        <w:rPr>
          <w:rFonts w:cs="Arial"/>
          <w:szCs w:val="24"/>
        </w:rPr>
        <w:t>Narodne novine</w:t>
      </w:r>
      <w:r w:rsidR="00CB513F" w:rsidRPr="009222A1">
        <w:rPr>
          <w:rFonts w:cs="Arial"/>
          <w:szCs w:val="24"/>
        </w:rPr>
        <w:t>“</w:t>
      </w:r>
      <w:r w:rsidRPr="009222A1">
        <w:rPr>
          <w:rFonts w:cs="Arial"/>
          <w:szCs w:val="24"/>
        </w:rPr>
        <w:t xml:space="preserve"> broj 104/17)</w:t>
      </w:r>
    </w:p>
    <w:p w:rsidR="008C523A" w:rsidRPr="009222A1" w:rsidRDefault="005F462D" w:rsidP="008C523A">
      <w:pPr>
        <w:pStyle w:val="Tekstfusnote"/>
        <w:rPr>
          <w:rFonts w:ascii="Arial" w:hAnsi="Arial" w:cs="Arial"/>
          <w:sz w:val="24"/>
          <w:szCs w:val="24"/>
        </w:rPr>
      </w:pPr>
      <w:r w:rsidRPr="009222A1">
        <w:rPr>
          <w:rFonts w:ascii="Arial" w:hAnsi="Arial" w:cs="Arial"/>
          <w:sz w:val="24"/>
          <w:szCs w:val="24"/>
        </w:rPr>
        <w:t xml:space="preserve">- Zakon o financijskom poslovanju i </w:t>
      </w:r>
      <w:proofErr w:type="spellStart"/>
      <w:r w:rsidRPr="009222A1">
        <w:rPr>
          <w:rFonts w:ascii="Arial" w:hAnsi="Arial" w:cs="Arial"/>
          <w:sz w:val="24"/>
          <w:szCs w:val="24"/>
        </w:rPr>
        <w:t>predstečajnoj</w:t>
      </w:r>
      <w:proofErr w:type="spellEnd"/>
      <w:r w:rsidRPr="009222A1">
        <w:rPr>
          <w:rFonts w:ascii="Arial" w:hAnsi="Arial" w:cs="Arial"/>
          <w:sz w:val="24"/>
          <w:szCs w:val="24"/>
        </w:rPr>
        <w:t xml:space="preserve"> nagodbi </w:t>
      </w:r>
      <w:r w:rsidR="008C523A" w:rsidRPr="009222A1">
        <w:rPr>
          <w:rFonts w:ascii="Arial" w:hAnsi="Arial" w:cs="Arial"/>
          <w:sz w:val="24"/>
          <w:szCs w:val="24"/>
        </w:rPr>
        <w:t>(</w:t>
      </w:r>
      <w:r w:rsidR="00CB513F" w:rsidRPr="009222A1">
        <w:rPr>
          <w:rFonts w:ascii="Arial" w:hAnsi="Arial" w:cs="Arial"/>
          <w:sz w:val="24"/>
          <w:szCs w:val="24"/>
        </w:rPr>
        <w:t>„</w:t>
      </w:r>
      <w:r w:rsidR="008C523A" w:rsidRPr="009222A1">
        <w:rPr>
          <w:rFonts w:ascii="Arial" w:hAnsi="Arial" w:cs="Arial"/>
          <w:sz w:val="24"/>
          <w:szCs w:val="24"/>
        </w:rPr>
        <w:t>Narodne novine</w:t>
      </w:r>
      <w:r w:rsidR="00CB513F" w:rsidRPr="009222A1">
        <w:rPr>
          <w:rFonts w:ascii="Arial" w:hAnsi="Arial" w:cs="Arial"/>
          <w:sz w:val="24"/>
          <w:szCs w:val="24"/>
        </w:rPr>
        <w:t>“</w:t>
      </w:r>
      <w:r w:rsidR="008C523A" w:rsidRPr="009222A1">
        <w:rPr>
          <w:rFonts w:ascii="Arial" w:hAnsi="Arial" w:cs="Arial"/>
          <w:sz w:val="24"/>
          <w:szCs w:val="24"/>
        </w:rPr>
        <w:t xml:space="preserve"> broj: 108/12, 144/12, 81/13 i 112/13)</w:t>
      </w:r>
    </w:p>
    <w:p w:rsidR="00421150" w:rsidRPr="009222A1" w:rsidRDefault="004C7649" w:rsidP="00421150">
      <w:pPr>
        <w:pStyle w:val="Tekstfusnote"/>
        <w:rPr>
          <w:rFonts w:ascii="Arial" w:hAnsi="Arial" w:cs="Arial"/>
          <w:sz w:val="24"/>
          <w:szCs w:val="24"/>
        </w:rPr>
      </w:pPr>
      <w:r w:rsidRPr="009222A1">
        <w:rPr>
          <w:rFonts w:ascii="Arial" w:hAnsi="Arial" w:cs="Arial"/>
          <w:sz w:val="24"/>
          <w:szCs w:val="24"/>
        </w:rPr>
        <w:t>- Zakon o obveznim odnosima</w:t>
      </w:r>
      <w:r w:rsidR="00421150" w:rsidRPr="009222A1">
        <w:rPr>
          <w:rFonts w:ascii="Arial" w:hAnsi="Arial" w:cs="Arial"/>
          <w:sz w:val="24"/>
          <w:szCs w:val="24"/>
        </w:rPr>
        <w:t xml:space="preserve"> (</w:t>
      </w:r>
      <w:r w:rsidR="00CB513F" w:rsidRPr="009222A1">
        <w:rPr>
          <w:rFonts w:ascii="Arial" w:hAnsi="Arial" w:cs="Arial"/>
          <w:sz w:val="24"/>
          <w:szCs w:val="24"/>
        </w:rPr>
        <w:t>„</w:t>
      </w:r>
      <w:r w:rsidR="00421150" w:rsidRPr="009222A1">
        <w:rPr>
          <w:rFonts w:ascii="Arial" w:hAnsi="Arial" w:cs="Arial"/>
          <w:sz w:val="24"/>
          <w:szCs w:val="24"/>
        </w:rPr>
        <w:t>Narodne novine</w:t>
      </w:r>
      <w:r w:rsidR="00CB513F" w:rsidRPr="009222A1">
        <w:rPr>
          <w:rFonts w:ascii="Arial" w:hAnsi="Arial" w:cs="Arial"/>
          <w:sz w:val="24"/>
          <w:szCs w:val="24"/>
        </w:rPr>
        <w:t xml:space="preserve">“ </w:t>
      </w:r>
      <w:r w:rsidR="00421150" w:rsidRPr="009222A1">
        <w:rPr>
          <w:rFonts w:ascii="Arial" w:hAnsi="Arial" w:cs="Arial"/>
          <w:sz w:val="24"/>
          <w:szCs w:val="24"/>
        </w:rPr>
        <w:t>broj 35/05, 41/08, 125/11 i 78/15 – ZOO)</w:t>
      </w:r>
    </w:p>
    <w:p w:rsidR="00EC1EB4" w:rsidRPr="009222A1" w:rsidRDefault="004C7649" w:rsidP="008C523A">
      <w:pPr>
        <w:pStyle w:val="Tekstfusnote"/>
        <w:rPr>
          <w:rFonts w:ascii="Arial" w:hAnsi="Arial" w:cs="Arial"/>
          <w:sz w:val="24"/>
          <w:szCs w:val="24"/>
        </w:rPr>
      </w:pPr>
      <w:r w:rsidRPr="009222A1">
        <w:rPr>
          <w:rFonts w:ascii="Arial" w:hAnsi="Arial" w:cs="Arial"/>
          <w:sz w:val="24"/>
          <w:szCs w:val="24"/>
        </w:rPr>
        <w:t>- Zakon o parničnom postupku</w:t>
      </w:r>
      <w:r w:rsidR="00EC1EB4" w:rsidRPr="009222A1">
        <w:rPr>
          <w:rFonts w:ascii="Arial" w:hAnsi="Arial" w:cs="Arial"/>
          <w:sz w:val="24"/>
          <w:szCs w:val="24"/>
        </w:rPr>
        <w:t xml:space="preserve"> (</w:t>
      </w:r>
      <w:r w:rsidR="00CB513F" w:rsidRPr="009222A1">
        <w:rPr>
          <w:rFonts w:ascii="Arial" w:hAnsi="Arial" w:cs="Arial"/>
          <w:sz w:val="24"/>
          <w:szCs w:val="24"/>
        </w:rPr>
        <w:t>„</w:t>
      </w:r>
      <w:r w:rsidR="00EC1EB4" w:rsidRPr="009222A1">
        <w:rPr>
          <w:rFonts w:ascii="Arial" w:hAnsi="Arial" w:cs="Arial"/>
          <w:sz w:val="24"/>
          <w:szCs w:val="24"/>
        </w:rPr>
        <w:t>Narodne novine</w:t>
      </w:r>
      <w:r w:rsidR="00CB513F" w:rsidRPr="009222A1">
        <w:rPr>
          <w:rFonts w:ascii="Arial" w:hAnsi="Arial" w:cs="Arial"/>
          <w:sz w:val="24"/>
          <w:szCs w:val="24"/>
        </w:rPr>
        <w:t>“</w:t>
      </w:r>
      <w:r w:rsidR="00EC1EB4" w:rsidRPr="009222A1">
        <w:rPr>
          <w:rFonts w:ascii="Arial" w:hAnsi="Arial" w:cs="Arial"/>
          <w:sz w:val="24"/>
          <w:szCs w:val="24"/>
        </w:rPr>
        <w:t xml:space="preserve"> broj: 53/91, 91/92, 58/93, 112/99, 88/01, 117/03, 88/05, 02/07, 84/08, 123/08, 57/11, 148/11, 25/13 i 89/14)</w:t>
      </w:r>
    </w:p>
    <w:p w:rsidR="004C7649" w:rsidRPr="009222A1" w:rsidRDefault="004C7649" w:rsidP="008C523A">
      <w:pPr>
        <w:pStyle w:val="Tekstfusnote"/>
        <w:rPr>
          <w:rFonts w:ascii="Arial" w:hAnsi="Arial" w:cs="Arial"/>
          <w:sz w:val="24"/>
          <w:szCs w:val="24"/>
        </w:rPr>
      </w:pPr>
      <w:r w:rsidRPr="009222A1">
        <w:rPr>
          <w:rFonts w:ascii="Arial" w:hAnsi="Arial" w:cs="Arial"/>
          <w:sz w:val="24"/>
          <w:szCs w:val="24"/>
        </w:rPr>
        <w:t>- Zakon o državnim potporama</w:t>
      </w:r>
      <w:r w:rsidR="00EC1EB4" w:rsidRPr="009222A1">
        <w:rPr>
          <w:rFonts w:ascii="Arial" w:hAnsi="Arial" w:cs="Arial"/>
          <w:sz w:val="24"/>
          <w:szCs w:val="24"/>
        </w:rPr>
        <w:t xml:space="preserve"> (</w:t>
      </w:r>
      <w:r w:rsidR="00CB513F" w:rsidRPr="009222A1">
        <w:rPr>
          <w:rFonts w:ascii="Arial" w:hAnsi="Arial" w:cs="Arial"/>
          <w:sz w:val="24"/>
          <w:szCs w:val="24"/>
        </w:rPr>
        <w:t>„</w:t>
      </w:r>
      <w:r w:rsidR="00EC1EB4" w:rsidRPr="009222A1">
        <w:rPr>
          <w:rFonts w:ascii="Arial" w:hAnsi="Arial" w:cs="Arial"/>
          <w:sz w:val="24"/>
          <w:szCs w:val="24"/>
        </w:rPr>
        <w:t>Narodne novine</w:t>
      </w:r>
      <w:r w:rsidR="00CB513F" w:rsidRPr="009222A1">
        <w:rPr>
          <w:rFonts w:ascii="Arial" w:hAnsi="Arial" w:cs="Arial"/>
          <w:sz w:val="24"/>
          <w:szCs w:val="24"/>
        </w:rPr>
        <w:t>“</w:t>
      </w:r>
      <w:r w:rsidR="00EC1EB4" w:rsidRPr="009222A1">
        <w:rPr>
          <w:rFonts w:ascii="Arial" w:hAnsi="Arial" w:cs="Arial"/>
          <w:sz w:val="24"/>
          <w:szCs w:val="24"/>
        </w:rPr>
        <w:t xml:space="preserve"> broj: 47/14 – pročišćeni tekst)</w:t>
      </w:r>
    </w:p>
    <w:p w:rsidR="009574B5" w:rsidRPr="009222A1" w:rsidRDefault="009574B5" w:rsidP="009574B5">
      <w:pPr>
        <w:pStyle w:val="Tekstfusnote"/>
        <w:rPr>
          <w:rFonts w:ascii="Arial" w:hAnsi="Arial" w:cs="Arial"/>
          <w:sz w:val="24"/>
          <w:szCs w:val="24"/>
        </w:rPr>
      </w:pPr>
      <w:r w:rsidRPr="009222A1">
        <w:rPr>
          <w:rFonts w:ascii="Arial" w:hAnsi="Arial" w:cs="Arial"/>
          <w:sz w:val="24"/>
          <w:szCs w:val="24"/>
        </w:rPr>
        <w:t>-</w:t>
      </w:r>
      <w:r w:rsidR="004C7649" w:rsidRPr="009222A1">
        <w:rPr>
          <w:rFonts w:ascii="Arial" w:hAnsi="Arial" w:cs="Arial"/>
          <w:sz w:val="24"/>
          <w:szCs w:val="24"/>
        </w:rPr>
        <w:t xml:space="preserve"> </w:t>
      </w:r>
      <w:r w:rsidRPr="009222A1">
        <w:rPr>
          <w:rFonts w:ascii="Arial" w:hAnsi="Arial" w:cs="Arial"/>
          <w:sz w:val="24"/>
          <w:szCs w:val="24"/>
        </w:rPr>
        <w:t>Zakon o vlasništvu i drugim stvarnim pravima (</w:t>
      </w:r>
      <w:r w:rsidR="00CB513F" w:rsidRPr="009222A1">
        <w:rPr>
          <w:rFonts w:ascii="Arial" w:hAnsi="Arial" w:cs="Arial"/>
          <w:sz w:val="24"/>
          <w:szCs w:val="24"/>
        </w:rPr>
        <w:t>„</w:t>
      </w:r>
      <w:r w:rsidRPr="009222A1">
        <w:rPr>
          <w:rFonts w:ascii="Arial" w:hAnsi="Arial" w:cs="Arial"/>
          <w:sz w:val="24"/>
          <w:szCs w:val="24"/>
        </w:rPr>
        <w:t>Narodne novine</w:t>
      </w:r>
      <w:r w:rsidR="00CB513F" w:rsidRPr="009222A1">
        <w:rPr>
          <w:rFonts w:ascii="Arial" w:hAnsi="Arial" w:cs="Arial"/>
          <w:sz w:val="24"/>
          <w:szCs w:val="24"/>
        </w:rPr>
        <w:t>“</w:t>
      </w:r>
      <w:r w:rsidRPr="009222A1">
        <w:rPr>
          <w:rFonts w:ascii="Arial" w:hAnsi="Arial" w:cs="Arial"/>
          <w:sz w:val="24"/>
          <w:szCs w:val="24"/>
        </w:rPr>
        <w:t xml:space="preserve"> broj: 91/96, 68/98, 137/99, 22/00, 73/00, 129/00, 114/01, 79/06, 141/06, 146/08, 38/09, 153/09, 143/12 i 152/14 )</w:t>
      </w:r>
    </w:p>
    <w:p w:rsidR="00DA346A" w:rsidRPr="009222A1" w:rsidRDefault="00DA346A" w:rsidP="009574B5">
      <w:pPr>
        <w:pStyle w:val="Tekstfusnote"/>
        <w:rPr>
          <w:rFonts w:ascii="Arial" w:hAnsi="Arial" w:cs="Arial"/>
          <w:sz w:val="24"/>
          <w:szCs w:val="24"/>
        </w:rPr>
      </w:pPr>
      <w:r w:rsidRPr="009222A1">
        <w:rPr>
          <w:rFonts w:ascii="Arial" w:hAnsi="Arial" w:cs="Arial"/>
          <w:sz w:val="24"/>
          <w:szCs w:val="24"/>
        </w:rPr>
        <w:t>- Zakon o obveznim odnosima</w:t>
      </w:r>
    </w:p>
    <w:p w:rsidR="000A6239" w:rsidRPr="009222A1" w:rsidRDefault="00DA346A" w:rsidP="009574B5">
      <w:pPr>
        <w:pStyle w:val="Tekstfusnote"/>
        <w:rPr>
          <w:rFonts w:ascii="Arial" w:hAnsi="Arial" w:cs="Arial"/>
          <w:sz w:val="24"/>
          <w:szCs w:val="24"/>
        </w:rPr>
      </w:pPr>
      <w:r w:rsidRPr="009222A1">
        <w:rPr>
          <w:rFonts w:ascii="Arial" w:hAnsi="Arial" w:cs="Arial"/>
          <w:sz w:val="24"/>
          <w:szCs w:val="24"/>
        </w:rPr>
        <w:t>- sudska praksa</w:t>
      </w:r>
    </w:p>
    <w:p w:rsidR="004C7649" w:rsidRPr="009222A1" w:rsidRDefault="004C7649" w:rsidP="008C523A">
      <w:pPr>
        <w:pStyle w:val="Tekstfusnote"/>
        <w:rPr>
          <w:rFonts w:ascii="Arial" w:hAnsi="Arial" w:cs="Arial"/>
          <w:sz w:val="24"/>
          <w:szCs w:val="24"/>
        </w:rPr>
      </w:pPr>
    </w:p>
    <w:p w:rsidR="005F462D" w:rsidRPr="009222A1" w:rsidRDefault="005F462D" w:rsidP="0032427D">
      <w:pPr>
        <w:pStyle w:val="Bezproreda"/>
        <w:rPr>
          <w:rFonts w:cs="Arial"/>
          <w:szCs w:val="24"/>
        </w:rPr>
      </w:pPr>
    </w:p>
    <w:p w:rsidR="002D5EB6" w:rsidRPr="002D5EB6" w:rsidRDefault="002D5EB6" w:rsidP="002D5EB6">
      <w:pPr>
        <w:jc w:val="center"/>
        <w:rPr>
          <w:rFonts w:ascii="Times New Roman" w:hAnsi="Times New Roman" w:cs="Times New Roman"/>
          <w:sz w:val="32"/>
          <w:szCs w:val="32"/>
        </w:rPr>
      </w:pPr>
    </w:p>
    <w:sectPr w:rsidR="002D5EB6" w:rsidRPr="002D5EB6" w:rsidSect="008E78F7">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15A" w:rsidRDefault="001E615A" w:rsidP="00AB4C6E">
      <w:pPr>
        <w:spacing w:after="0" w:line="240" w:lineRule="auto"/>
      </w:pPr>
      <w:r>
        <w:separator/>
      </w:r>
    </w:p>
  </w:endnote>
  <w:endnote w:type="continuationSeparator" w:id="0">
    <w:p w:rsidR="001E615A" w:rsidRDefault="001E615A" w:rsidP="00AB4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alibri Light">
    <w:altName w:val="Calibr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807909"/>
      <w:docPartObj>
        <w:docPartGallery w:val="Page Numbers (Bottom of Page)"/>
        <w:docPartUnique/>
      </w:docPartObj>
    </w:sdtPr>
    <w:sdtContent>
      <w:p w:rsidR="00951AD8" w:rsidRDefault="00951AD8">
        <w:pPr>
          <w:pStyle w:val="Podnoje"/>
          <w:jc w:val="center"/>
        </w:pPr>
        <w:r>
          <w:fldChar w:fldCharType="begin"/>
        </w:r>
        <w:r>
          <w:instrText>PAGE   \* MERGEFORMAT</w:instrText>
        </w:r>
        <w:r>
          <w:fldChar w:fldCharType="separate"/>
        </w:r>
        <w:r w:rsidR="00281FC4">
          <w:rPr>
            <w:noProof/>
          </w:rPr>
          <w:t>1</w:t>
        </w:r>
        <w:r>
          <w:fldChar w:fldCharType="end"/>
        </w:r>
      </w:p>
    </w:sdtContent>
  </w:sdt>
  <w:p w:rsidR="00951AD8" w:rsidRDefault="00951AD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15A" w:rsidRDefault="001E615A" w:rsidP="00AB4C6E">
      <w:pPr>
        <w:spacing w:after="0" w:line="240" w:lineRule="auto"/>
      </w:pPr>
      <w:r>
        <w:separator/>
      </w:r>
    </w:p>
  </w:footnote>
  <w:footnote w:type="continuationSeparator" w:id="0">
    <w:p w:rsidR="001E615A" w:rsidRDefault="001E615A" w:rsidP="00AB4C6E">
      <w:pPr>
        <w:spacing w:after="0" w:line="240" w:lineRule="auto"/>
      </w:pPr>
      <w:r>
        <w:continuationSeparator/>
      </w:r>
    </w:p>
  </w:footnote>
  <w:footnote w:id="1">
    <w:p w:rsidR="00951AD8" w:rsidRPr="00992457" w:rsidRDefault="00951AD8">
      <w:pPr>
        <w:pStyle w:val="Tekstfusnote"/>
        <w:rPr>
          <w:rFonts w:ascii="Arial" w:hAnsi="Arial" w:cs="Arial"/>
        </w:rPr>
      </w:pPr>
      <w:r>
        <w:rPr>
          <w:rStyle w:val="Referencafusnote"/>
        </w:rPr>
        <w:footnoteRef/>
      </w:r>
      <w:r>
        <w:t xml:space="preserve"> </w:t>
      </w:r>
      <w:r w:rsidRPr="008E54B8">
        <w:rPr>
          <w:rFonts w:ascii="Calibri" w:hAnsi="Calibri" w:cs="Calibri"/>
        </w:rPr>
        <w:t>Stečajni zakon (Narodne novine broj 71/2015.)</w:t>
      </w:r>
    </w:p>
  </w:footnote>
  <w:footnote w:id="2">
    <w:p w:rsidR="00951AD8" w:rsidRDefault="00951AD8" w:rsidP="00D83A6F">
      <w:pPr>
        <w:pStyle w:val="Tekstfusnote"/>
      </w:pPr>
      <w:r>
        <w:rPr>
          <w:rStyle w:val="Referencafusnote"/>
        </w:rPr>
        <w:footnoteRef/>
      </w:r>
      <w:r>
        <w:t xml:space="preserve"> Zakon o stečaju potrošača (Narodne novine broj 100/2015. od 18. rujna 2015.)</w:t>
      </w:r>
    </w:p>
  </w:footnote>
  <w:footnote w:id="3">
    <w:p w:rsidR="00951AD8" w:rsidRPr="008E54B8" w:rsidRDefault="00951AD8">
      <w:pPr>
        <w:pStyle w:val="Tekstfusnote"/>
        <w:rPr>
          <w:rFonts w:ascii="Calibri" w:hAnsi="Calibri" w:cs="Calibri"/>
        </w:rPr>
      </w:pPr>
      <w:r>
        <w:rPr>
          <w:rStyle w:val="Referencafusnote"/>
        </w:rPr>
        <w:footnoteRef/>
      </w:r>
      <w:r>
        <w:t xml:space="preserve"> </w:t>
      </w:r>
      <w:r w:rsidRPr="008E54B8">
        <w:rPr>
          <w:rFonts w:ascii="Calibri" w:hAnsi="Calibri" w:cs="Calibri"/>
        </w:rPr>
        <w:t xml:space="preserve">Zakon o financijskom poslovanju i </w:t>
      </w:r>
      <w:proofErr w:type="spellStart"/>
      <w:r w:rsidRPr="008E54B8">
        <w:rPr>
          <w:rFonts w:ascii="Calibri" w:hAnsi="Calibri" w:cs="Calibri"/>
        </w:rPr>
        <w:t>predstečajnoj</w:t>
      </w:r>
      <w:proofErr w:type="spellEnd"/>
      <w:r w:rsidRPr="008E54B8">
        <w:rPr>
          <w:rFonts w:ascii="Calibri" w:hAnsi="Calibri" w:cs="Calibri"/>
        </w:rPr>
        <w:t xml:space="preserve"> nagodbi (Narodne novine broj: 108/12., 144/12., 81/13. i 112/13.)</w:t>
      </w:r>
    </w:p>
  </w:footnote>
  <w:footnote w:id="4">
    <w:p w:rsidR="00951AD8" w:rsidRDefault="00951AD8">
      <w:pPr>
        <w:pStyle w:val="Tekstfusnote"/>
      </w:pPr>
      <w:r>
        <w:rPr>
          <w:rStyle w:val="Referencafusnote"/>
        </w:rPr>
        <w:footnoteRef/>
      </w:r>
      <w:r>
        <w:t xml:space="preserve"> članak 442. stavak 1. SZ-a</w:t>
      </w:r>
    </w:p>
  </w:footnote>
  <w:footnote w:id="5">
    <w:p w:rsidR="00951AD8" w:rsidRDefault="00951AD8">
      <w:pPr>
        <w:pStyle w:val="Tekstfusnote"/>
      </w:pPr>
      <w:r>
        <w:rPr>
          <w:rStyle w:val="Referencafusnote"/>
        </w:rPr>
        <w:footnoteRef/>
      </w:r>
      <w:r>
        <w:t xml:space="preserve"> članak 442. stavak 2. SZ-a</w:t>
      </w:r>
    </w:p>
  </w:footnote>
  <w:footnote w:id="6">
    <w:p w:rsidR="00951AD8" w:rsidRPr="008F09E7" w:rsidRDefault="00951AD8">
      <w:pPr>
        <w:pStyle w:val="Tekstfusnote"/>
        <w:rPr>
          <w:rFonts w:cstheme="minorHAnsi"/>
        </w:rPr>
      </w:pPr>
      <w:r>
        <w:rPr>
          <w:rStyle w:val="Referencafusnote"/>
        </w:rPr>
        <w:footnoteRef/>
      </w:r>
      <w:r>
        <w:t xml:space="preserve"> </w:t>
      </w:r>
      <w:r w:rsidRPr="008F09E7">
        <w:rPr>
          <w:rFonts w:cstheme="minorHAnsi"/>
        </w:rPr>
        <w:t xml:space="preserve">Zakon o izmjenama i dopunama Stečajnog zakona (Narodne novine broj 104/2017.) </w:t>
      </w:r>
    </w:p>
  </w:footnote>
  <w:footnote w:id="7">
    <w:p w:rsidR="00951AD8" w:rsidRPr="008F09E7" w:rsidRDefault="00951AD8" w:rsidP="00D83A6F">
      <w:pPr>
        <w:pStyle w:val="Tekstfusnote"/>
        <w:rPr>
          <w:rFonts w:cstheme="minorHAnsi"/>
        </w:rPr>
      </w:pPr>
      <w:r w:rsidRPr="008F09E7">
        <w:rPr>
          <w:rStyle w:val="Referencafusnote"/>
          <w:rFonts w:cstheme="minorHAnsi"/>
        </w:rPr>
        <w:footnoteRef/>
      </w:r>
      <w:r w:rsidRPr="008F09E7">
        <w:rPr>
          <w:rFonts w:cstheme="minorHAnsi"/>
        </w:rPr>
        <w:t xml:space="preserve"> ZIDSZ-a, članak 37. stavak 1.</w:t>
      </w:r>
    </w:p>
  </w:footnote>
  <w:footnote w:id="8">
    <w:p w:rsidR="00951AD8" w:rsidRPr="008F09E7" w:rsidRDefault="00951AD8" w:rsidP="009445D0">
      <w:pPr>
        <w:pStyle w:val="Tekstfusnote"/>
        <w:rPr>
          <w:rFonts w:cstheme="minorHAnsi"/>
        </w:rPr>
      </w:pPr>
      <w:r w:rsidRPr="008F09E7">
        <w:rPr>
          <w:rStyle w:val="Referencafusnote"/>
          <w:rFonts w:cstheme="minorHAnsi"/>
        </w:rPr>
        <w:footnoteRef/>
      </w:r>
      <w:r w:rsidRPr="008F09E7">
        <w:rPr>
          <w:rFonts w:cstheme="minorHAnsi"/>
        </w:rPr>
        <w:t xml:space="preserve"> Ustav Republike Hrvatske (Narodne novine broj: 56/90., 135/97., 8/98., 113/00., 124/00., 28/01., 41/01., 55/01., 76/10., 85/10. i 5/14.) u članku 14. st. 2. utvrđuje: „Svi su pred zakonom jednaki“ te u članku 26.: „Svi su državljani Republike Hrvatske i stranci jednaki pred sudovima i drugim državnim i inim tijelima koja imaju javne ovlasti“. </w:t>
      </w:r>
    </w:p>
  </w:footnote>
  <w:footnote w:id="9">
    <w:p w:rsidR="00951AD8" w:rsidRPr="008F09E7" w:rsidRDefault="00951AD8">
      <w:pPr>
        <w:pStyle w:val="Tekstfusnote"/>
        <w:rPr>
          <w:rFonts w:cstheme="minorHAnsi"/>
        </w:rPr>
      </w:pPr>
      <w:r w:rsidRPr="008F09E7">
        <w:rPr>
          <w:rStyle w:val="Referencafusnote"/>
          <w:rFonts w:cstheme="minorHAnsi"/>
        </w:rPr>
        <w:footnoteRef/>
      </w:r>
      <w:r w:rsidRPr="008F09E7">
        <w:rPr>
          <w:rFonts w:cstheme="minorHAnsi"/>
        </w:rPr>
        <w:t xml:space="preserve">  članak 11. st</w:t>
      </w:r>
      <w:r>
        <w:rPr>
          <w:rFonts w:cstheme="minorHAnsi"/>
        </w:rPr>
        <w:t>avak</w:t>
      </w:r>
      <w:r w:rsidRPr="008F09E7">
        <w:rPr>
          <w:rFonts w:cstheme="minorHAnsi"/>
        </w:rPr>
        <w:t xml:space="preserve"> 1. SZ-a</w:t>
      </w:r>
    </w:p>
  </w:footnote>
  <w:footnote w:id="10">
    <w:p w:rsidR="00951AD8" w:rsidRPr="008F09E7" w:rsidRDefault="00951AD8" w:rsidP="00DE265F">
      <w:pPr>
        <w:pStyle w:val="Tekstfusnote"/>
        <w:rPr>
          <w:rFonts w:cstheme="minorHAnsi"/>
        </w:rPr>
      </w:pPr>
      <w:r w:rsidRPr="008F09E7">
        <w:rPr>
          <w:rStyle w:val="Referencafusnote"/>
          <w:rFonts w:cstheme="minorHAnsi"/>
        </w:rPr>
        <w:footnoteRef/>
      </w:r>
      <w:r w:rsidRPr="008F09E7">
        <w:rPr>
          <w:rFonts w:cstheme="minorHAnsi"/>
        </w:rPr>
        <w:t xml:space="preserve"> članak 25. SZ-a</w:t>
      </w:r>
    </w:p>
  </w:footnote>
  <w:footnote w:id="11">
    <w:p w:rsidR="00951AD8" w:rsidRPr="008F09E7" w:rsidRDefault="00951AD8" w:rsidP="00DE265F">
      <w:pPr>
        <w:pStyle w:val="Tekstfusnote"/>
        <w:rPr>
          <w:rFonts w:cstheme="minorHAnsi"/>
        </w:rPr>
      </w:pPr>
      <w:r w:rsidRPr="008F09E7">
        <w:rPr>
          <w:rStyle w:val="Referencafusnote"/>
          <w:rFonts w:cstheme="minorHAnsi"/>
        </w:rPr>
        <w:footnoteRef/>
      </w:r>
      <w:r w:rsidRPr="008F09E7">
        <w:rPr>
          <w:rFonts w:cstheme="minorHAnsi"/>
        </w:rPr>
        <w:t xml:space="preserve"> članak 32. st</w:t>
      </w:r>
      <w:r>
        <w:rPr>
          <w:rFonts w:cstheme="minorHAnsi"/>
        </w:rPr>
        <w:t>avak 1. točka</w:t>
      </w:r>
      <w:r w:rsidRPr="008F09E7">
        <w:rPr>
          <w:rFonts w:cstheme="minorHAnsi"/>
        </w:rPr>
        <w:t xml:space="preserve"> 3. SZ-a</w:t>
      </w:r>
    </w:p>
  </w:footnote>
  <w:footnote w:id="12">
    <w:p w:rsidR="00951AD8" w:rsidRPr="008F09E7" w:rsidRDefault="00951AD8">
      <w:pPr>
        <w:pStyle w:val="Tekstfusnote"/>
        <w:rPr>
          <w:rFonts w:ascii="Calibri" w:hAnsi="Calibri" w:cs="Calibri"/>
        </w:rPr>
      </w:pPr>
      <w:r w:rsidRPr="00BC3A0C">
        <w:rPr>
          <w:rStyle w:val="Referencafusnote"/>
          <w:rFonts w:ascii="Arial" w:hAnsi="Arial" w:cs="Arial"/>
        </w:rPr>
        <w:footnoteRef/>
      </w:r>
      <w:r w:rsidRPr="00BC3A0C">
        <w:rPr>
          <w:rFonts w:ascii="Arial" w:hAnsi="Arial" w:cs="Arial"/>
        </w:rPr>
        <w:t xml:space="preserve"> </w:t>
      </w:r>
      <w:r w:rsidRPr="008F09E7">
        <w:rPr>
          <w:rFonts w:ascii="Calibri" w:hAnsi="Calibri" w:cs="Calibri"/>
        </w:rPr>
        <w:t>SZ, članak 32. stavak 2.</w:t>
      </w:r>
    </w:p>
  </w:footnote>
  <w:footnote w:id="13">
    <w:p w:rsidR="00951AD8" w:rsidRPr="008F09E7" w:rsidRDefault="00951AD8">
      <w:pPr>
        <w:pStyle w:val="Tekstfusnote"/>
        <w:rPr>
          <w:rFonts w:ascii="Calibri" w:hAnsi="Calibri" w:cs="Calibri"/>
        </w:rPr>
      </w:pPr>
      <w:r w:rsidRPr="008F09E7">
        <w:rPr>
          <w:rStyle w:val="Referencafusnote"/>
          <w:rFonts w:ascii="Calibri" w:hAnsi="Calibri" w:cs="Calibri"/>
        </w:rPr>
        <w:footnoteRef/>
      </w:r>
      <w:r w:rsidRPr="008F09E7">
        <w:rPr>
          <w:rFonts w:ascii="Calibri" w:hAnsi="Calibri" w:cs="Calibri"/>
        </w:rPr>
        <w:t xml:space="preserve"> ZIDSZ, članak 8.</w:t>
      </w:r>
    </w:p>
  </w:footnote>
  <w:footnote w:id="14">
    <w:p w:rsidR="00951AD8" w:rsidRPr="008F09E7" w:rsidRDefault="00951AD8">
      <w:pPr>
        <w:pStyle w:val="Tekstfusnote"/>
        <w:rPr>
          <w:rFonts w:ascii="Calibri" w:hAnsi="Calibri" w:cs="Calibri"/>
        </w:rPr>
      </w:pPr>
      <w:r w:rsidRPr="008F09E7">
        <w:rPr>
          <w:rStyle w:val="Referencafusnote"/>
          <w:rFonts w:ascii="Calibri" w:hAnsi="Calibri" w:cs="Calibri"/>
        </w:rPr>
        <w:footnoteRef/>
      </w:r>
      <w:r w:rsidRPr="008F09E7">
        <w:rPr>
          <w:rFonts w:ascii="Calibri" w:hAnsi="Calibri" w:cs="Calibri"/>
        </w:rPr>
        <w:t xml:space="preserve"> SZ, članak 64. stavak 2.</w:t>
      </w:r>
    </w:p>
  </w:footnote>
  <w:footnote w:id="15">
    <w:p w:rsidR="00951AD8" w:rsidRPr="008F09E7" w:rsidRDefault="00951AD8">
      <w:pPr>
        <w:pStyle w:val="Tekstfusnote"/>
        <w:rPr>
          <w:rFonts w:ascii="Calibri" w:hAnsi="Calibri" w:cs="Calibri"/>
        </w:rPr>
      </w:pPr>
      <w:r w:rsidRPr="008F09E7">
        <w:rPr>
          <w:rStyle w:val="Referencafusnote"/>
          <w:rFonts w:ascii="Calibri" w:hAnsi="Calibri" w:cs="Calibri"/>
        </w:rPr>
        <w:footnoteRef/>
      </w:r>
      <w:r w:rsidRPr="008F09E7">
        <w:rPr>
          <w:rFonts w:ascii="Calibri" w:hAnsi="Calibri" w:cs="Calibri"/>
        </w:rPr>
        <w:t xml:space="preserve"> Na primjer ako predlagatelj povuče prijedlog prije otvaranja </w:t>
      </w:r>
      <w:proofErr w:type="spellStart"/>
      <w:r w:rsidRPr="008F09E7">
        <w:rPr>
          <w:rFonts w:ascii="Calibri" w:hAnsi="Calibri" w:cs="Calibri"/>
        </w:rPr>
        <w:t>predstečajnog</w:t>
      </w:r>
      <w:proofErr w:type="spellEnd"/>
      <w:r w:rsidRPr="008F09E7">
        <w:rPr>
          <w:rFonts w:ascii="Calibri" w:hAnsi="Calibri" w:cs="Calibri"/>
        </w:rPr>
        <w:t xml:space="preserve"> postupka sud neće po službenoj dužnosti nastaviti postupak kao da je podnesen </w:t>
      </w:r>
      <w:r w:rsidRPr="008F09E7">
        <w:rPr>
          <w:rFonts w:ascii="Calibri" w:hAnsi="Calibri" w:cs="Calibri"/>
          <w:lang w:val="x-none"/>
        </w:rPr>
        <w:t>prijedlog za otvaranje stečajnog postupka</w:t>
      </w:r>
      <w:r w:rsidRPr="008F09E7">
        <w:rPr>
          <w:rFonts w:ascii="Calibri" w:hAnsi="Calibri" w:cs="Calibri"/>
        </w:rPr>
        <w:t xml:space="preserve">  </w:t>
      </w:r>
    </w:p>
  </w:footnote>
  <w:footnote w:id="16">
    <w:p w:rsidR="00951AD8" w:rsidRPr="008F09E7" w:rsidRDefault="00951AD8">
      <w:pPr>
        <w:pStyle w:val="Tekstfusnote"/>
        <w:rPr>
          <w:rFonts w:ascii="Calibri" w:hAnsi="Calibri" w:cs="Calibri"/>
        </w:rPr>
      </w:pPr>
      <w:r w:rsidRPr="008F09E7">
        <w:rPr>
          <w:rStyle w:val="Referencafusnote"/>
          <w:rFonts w:ascii="Calibri" w:hAnsi="Calibri" w:cs="Calibri"/>
        </w:rPr>
        <w:footnoteRef/>
      </w:r>
      <w:r w:rsidRPr="008F09E7">
        <w:rPr>
          <w:rFonts w:ascii="Calibri" w:hAnsi="Calibri" w:cs="Calibri"/>
        </w:rPr>
        <w:t xml:space="preserve"> članak 15. st</w:t>
      </w:r>
      <w:r>
        <w:rPr>
          <w:rFonts w:ascii="Calibri" w:hAnsi="Calibri" w:cs="Calibri"/>
        </w:rPr>
        <w:t>avak</w:t>
      </w:r>
      <w:r w:rsidRPr="008F09E7">
        <w:rPr>
          <w:rFonts w:ascii="Calibri" w:hAnsi="Calibri" w:cs="Calibri"/>
        </w:rPr>
        <w:t xml:space="preserve"> 1. SZ-a</w:t>
      </w:r>
    </w:p>
  </w:footnote>
  <w:footnote w:id="17">
    <w:p w:rsidR="00951AD8" w:rsidRPr="008F09E7" w:rsidRDefault="00951AD8" w:rsidP="00DF2F9C">
      <w:pPr>
        <w:pStyle w:val="Tekstfusnote"/>
        <w:rPr>
          <w:rFonts w:ascii="Calibri" w:hAnsi="Calibri" w:cs="Calibri"/>
        </w:rPr>
      </w:pPr>
      <w:r w:rsidRPr="008F09E7">
        <w:rPr>
          <w:rStyle w:val="Referencafusnote"/>
          <w:rFonts w:ascii="Calibri" w:hAnsi="Calibri" w:cs="Calibri"/>
        </w:rPr>
        <w:footnoteRef/>
      </w:r>
      <w:r w:rsidRPr="008F09E7">
        <w:rPr>
          <w:rFonts w:ascii="Calibri" w:hAnsi="Calibri" w:cs="Calibri"/>
        </w:rPr>
        <w:t xml:space="preserve"> članak 15. st</w:t>
      </w:r>
      <w:r>
        <w:rPr>
          <w:rFonts w:ascii="Calibri" w:hAnsi="Calibri" w:cs="Calibri"/>
        </w:rPr>
        <w:t>avak</w:t>
      </w:r>
      <w:r w:rsidRPr="008F09E7">
        <w:rPr>
          <w:rFonts w:ascii="Calibri" w:hAnsi="Calibri" w:cs="Calibri"/>
        </w:rPr>
        <w:t xml:space="preserve"> 2. SZ-a</w:t>
      </w:r>
    </w:p>
  </w:footnote>
  <w:footnote w:id="18">
    <w:p w:rsidR="00951AD8" w:rsidRDefault="00951AD8">
      <w:pPr>
        <w:pStyle w:val="Tekstfusnote"/>
      </w:pPr>
      <w:r>
        <w:rPr>
          <w:rStyle w:val="Referencafusnote"/>
        </w:rPr>
        <w:footnoteRef/>
      </w:r>
      <w:r>
        <w:t xml:space="preserve"> ZIDSZ, članak 5.</w:t>
      </w:r>
    </w:p>
  </w:footnote>
  <w:footnote w:id="19">
    <w:p w:rsidR="00951AD8" w:rsidRDefault="00951AD8">
      <w:pPr>
        <w:pStyle w:val="Tekstfusnote"/>
      </w:pPr>
      <w:r>
        <w:rPr>
          <w:rStyle w:val="Referencafusnote"/>
        </w:rPr>
        <w:footnoteRef/>
      </w:r>
      <w:r>
        <w:t xml:space="preserve"> članak 16. stavak 6. SZ-a</w:t>
      </w:r>
    </w:p>
  </w:footnote>
  <w:footnote w:id="20">
    <w:p w:rsidR="00951AD8" w:rsidRDefault="00951AD8" w:rsidP="00DE265F">
      <w:pPr>
        <w:pStyle w:val="Tekstfusnote"/>
      </w:pPr>
      <w:r>
        <w:rPr>
          <w:rStyle w:val="Referencafusnote"/>
        </w:rPr>
        <w:footnoteRef/>
      </w:r>
      <w:r>
        <w:t xml:space="preserve"> članak 13. stavak 1. SZ-a</w:t>
      </w:r>
    </w:p>
  </w:footnote>
  <w:footnote w:id="21">
    <w:p w:rsidR="00951AD8" w:rsidRDefault="00951AD8" w:rsidP="00DE265F">
      <w:pPr>
        <w:pStyle w:val="Tekstfusnote"/>
      </w:pPr>
      <w:r>
        <w:rPr>
          <w:rStyle w:val="Referencafusnote"/>
        </w:rPr>
        <w:footnoteRef/>
      </w:r>
      <w:r>
        <w:t xml:space="preserve"> Pravilnik o sadržaju i obliku obrazaca na kojima se podnose podnesci u </w:t>
      </w:r>
      <w:proofErr w:type="spellStart"/>
      <w:r>
        <w:t>predstečjanom</w:t>
      </w:r>
      <w:proofErr w:type="spellEnd"/>
      <w:r>
        <w:t xml:space="preserve"> i stečajnom postupku (Narodne novine broj: 107/15)</w:t>
      </w:r>
    </w:p>
  </w:footnote>
  <w:footnote w:id="22">
    <w:p w:rsidR="00951AD8" w:rsidRDefault="00951AD8" w:rsidP="00DE265F">
      <w:pPr>
        <w:pStyle w:val="Tekstfusnote"/>
      </w:pPr>
      <w:r>
        <w:rPr>
          <w:rStyle w:val="Referencafusnote"/>
        </w:rPr>
        <w:footnoteRef/>
      </w:r>
      <w:r>
        <w:t xml:space="preserve"> članak 13. st. 4. SZ-a</w:t>
      </w:r>
    </w:p>
  </w:footnote>
  <w:footnote w:id="23">
    <w:p w:rsidR="00951AD8" w:rsidRDefault="00951AD8" w:rsidP="00DE265F">
      <w:pPr>
        <w:tabs>
          <w:tab w:val="left" w:pos="720"/>
        </w:tabs>
        <w:jc w:val="both"/>
      </w:pPr>
      <w:r>
        <w:rPr>
          <w:rStyle w:val="Referencafusnote"/>
        </w:rPr>
        <w:footnoteRef/>
      </w:r>
      <w:r>
        <w:t xml:space="preserve"> </w:t>
      </w:r>
      <w:r w:rsidRPr="00EE0947">
        <w:rPr>
          <w:sz w:val="20"/>
          <w:szCs w:val="20"/>
        </w:rPr>
        <w:t xml:space="preserve">vidi odluku VTS RH poslovni broj: </w:t>
      </w:r>
      <w:proofErr w:type="spellStart"/>
      <w:r w:rsidRPr="00EE0947">
        <w:rPr>
          <w:sz w:val="20"/>
          <w:szCs w:val="20"/>
        </w:rPr>
        <w:t>Pž</w:t>
      </w:r>
      <w:proofErr w:type="spellEnd"/>
      <w:r w:rsidRPr="00EE0947">
        <w:rPr>
          <w:sz w:val="20"/>
          <w:szCs w:val="20"/>
        </w:rPr>
        <w:t>-1842/16 od 16.3.2016.</w:t>
      </w:r>
      <w:r>
        <w:t xml:space="preserve"> – „</w:t>
      </w:r>
      <w:r w:rsidRPr="00FC5893">
        <w:rPr>
          <w:i/>
          <w:sz w:val="20"/>
          <w:szCs w:val="20"/>
        </w:rPr>
        <w:t xml:space="preserve">Naime, smisao odredbe članka 13. Stečajnog zakona je u tome da (određeni) podnesci stranaka u stečajnom postupku budu jednoobrazni, što znači da imaju identičan tekst (osim naravno, u onom dijelu u kojem to ne mogu biti jer to ovisi o svakom pojedinom stečajnom postupku – na primjer, iznos nepodmirenih dospjelih obveza, broj dana blokade i slično). Prema tome, ako pojedini podnesak i nije napisan na obrascu propisanom Pravilnikom o sadržaju i obliku obrazaca na kojima se podnose podnesci u </w:t>
      </w:r>
      <w:proofErr w:type="spellStart"/>
      <w:r w:rsidRPr="00FC5893">
        <w:rPr>
          <w:i/>
          <w:sz w:val="20"/>
          <w:szCs w:val="20"/>
        </w:rPr>
        <w:t>predstečajnom</w:t>
      </w:r>
      <w:proofErr w:type="spellEnd"/>
      <w:r w:rsidRPr="00FC5893">
        <w:rPr>
          <w:i/>
          <w:sz w:val="20"/>
          <w:szCs w:val="20"/>
        </w:rPr>
        <w:t xml:space="preserve"> i stečajnom postupku, ali ako tekst tog podneska u </w:t>
      </w:r>
      <w:r w:rsidRPr="00687BDE">
        <w:rPr>
          <w:b/>
          <w:i/>
          <w:sz w:val="20"/>
          <w:szCs w:val="20"/>
        </w:rPr>
        <w:t xml:space="preserve">potpunosti </w:t>
      </w:r>
      <w:r w:rsidRPr="00FC5893">
        <w:rPr>
          <w:i/>
          <w:sz w:val="20"/>
          <w:szCs w:val="20"/>
        </w:rPr>
        <w:t>odgovara tekstu obrasca iz tog Pravilnika, stečajni sudac samo zbog toga što podnesak nije podnesen na propisanom obrascu, unatoč odredbe članka 13. stavak 4. Stečajnog zakona ne može odbaciti podnesak kao nedopušten. Ovo stoga jer smisao Stečajnog zakona nije da se podnesci odbacuju samo zato što nisu napisani na pojedinim obrascima, već da se oni odbacuju ako ne sadrže sve ono što za pojedine situacije zakonodavac propisuje Pravilnikom kojim se nastoji postići jednoobraznost sadržaja pojedinih podnesaka.</w:t>
      </w:r>
      <w:r>
        <w:rPr>
          <w:i/>
          <w:sz w:val="20"/>
          <w:szCs w:val="20"/>
        </w:rPr>
        <w:t>“</w:t>
      </w:r>
    </w:p>
  </w:footnote>
  <w:footnote w:id="24">
    <w:p w:rsidR="00951AD8" w:rsidRDefault="00951AD8" w:rsidP="0099251F">
      <w:pPr>
        <w:pStyle w:val="Tekstfusnote"/>
        <w:jc w:val="both"/>
      </w:pPr>
      <w:r>
        <w:rPr>
          <w:rStyle w:val="Referencafusnote"/>
        </w:rPr>
        <w:footnoteRef/>
      </w:r>
      <w:r>
        <w:t xml:space="preserve"> Vidi rješenje VTS RH poslovni broj: </w:t>
      </w:r>
      <w:proofErr w:type="spellStart"/>
      <w:r>
        <w:t>Pž</w:t>
      </w:r>
      <w:proofErr w:type="spellEnd"/>
      <w:r>
        <w:t>-7759/17 od 16. siječnja 2018. u kojemu je navedeno:</w:t>
      </w:r>
      <w:r>
        <w:rPr>
          <w:i/>
        </w:rPr>
        <w:t xml:space="preserve">“S obzirom na to da dužnik kao predlagatelj nije prijedlog za pokretanje </w:t>
      </w:r>
      <w:proofErr w:type="spellStart"/>
      <w:r>
        <w:rPr>
          <w:i/>
        </w:rPr>
        <w:t>predstečajnog</w:t>
      </w:r>
      <w:proofErr w:type="spellEnd"/>
      <w:r>
        <w:rPr>
          <w:i/>
        </w:rPr>
        <w:t xml:space="preserve"> postupka podnio na propisanom obrascu tj. prijedlog nije sastavio na način da isti sadrži obligatorni sadržaj propisanog obrasca, nije bilo uvjeta za vraćanje prijedloga na ispravak i dopunu na temelju odredbe članka 109. ZPP-a, jer je odredbom članka 13. stavak 4. Stečajnog zakona (NN broj 71/15 i 104/17; dalje: SZ) propisano da će sud podnesak koji nije podnesen na propisanom obrascu odbaciti kao nedopušten.“</w:t>
      </w:r>
      <w:r>
        <w:t xml:space="preserve"> </w:t>
      </w:r>
    </w:p>
  </w:footnote>
  <w:footnote w:id="25">
    <w:p w:rsidR="00951AD8" w:rsidRDefault="00951AD8" w:rsidP="00DE265F">
      <w:pPr>
        <w:pStyle w:val="Tekstfusnote"/>
      </w:pPr>
      <w:r>
        <w:rPr>
          <w:rStyle w:val="Referencafusnote"/>
        </w:rPr>
        <w:footnoteRef/>
      </w:r>
      <w:r>
        <w:t xml:space="preserve"> članak 31. SZ-a</w:t>
      </w:r>
    </w:p>
  </w:footnote>
  <w:footnote w:id="26">
    <w:p w:rsidR="00951AD8" w:rsidRDefault="00951AD8">
      <w:pPr>
        <w:pStyle w:val="Tekstfusnote"/>
      </w:pPr>
      <w:r>
        <w:rPr>
          <w:rStyle w:val="Referencafusnote"/>
        </w:rPr>
        <w:footnoteRef/>
      </w:r>
      <w:r>
        <w:t xml:space="preserve"> članak 11. stavak 2. SZ-a</w:t>
      </w:r>
    </w:p>
  </w:footnote>
  <w:footnote w:id="27">
    <w:p w:rsidR="00951AD8" w:rsidRPr="00500B22" w:rsidRDefault="00951AD8" w:rsidP="00DE265F">
      <w:pPr>
        <w:pStyle w:val="Tekstfusnote"/>
        <w:rPr>
          <w:rFonts w:ascii="Calibri" w:hAnsi="Calibri" w:cs="Calibri"/>
        </w:rPr>
      </w:pPr>
      <w:r>
        <w:rPr>
          <w:rStyle w:val="Referencafusnote"/>
        </w:rPr>
        <w:footnoteRef/>
      </w:r>
      <w:r>
        <w:t xml:space="preserve"> </w:t>
      </w:r>
      <w:r w:rsidRPr="00500B22">
        <w:rPr>
          <w:rFonts w:ascii="Calibri" w:hAnsi="Calibri" w:cs="Calibri"/>
        </w:rPr>
        <w:t>članak 31. SZ-a</w:t>
      </w:r>
    </w:p>
  </w:footnote>
  <w:footnote w:id="28">
    <w:p w:rsidR="00951AD8" w:rsidRDefault="00951AD8">
      <w:pPr>
        <w:pStyle w:val="Tekstfusnote"/>
      </w:pPr>
      <w:r>
        <w:rPr>
          <w:rStyle w:val="Referencafusnote"/>
        </w:rPr>
        <w:footnoteRef/>
      </w:r>
      <w:r>
        <w:t xml:space="preserve"> članak 111. stavak 3. ZPP u vezi s člankom 10. SZ</w:t>
      </w:r>
    </w:p>
  </w:footnote>
  <w:footnote w:id="29">
    <w:p w:rsidR="00951AD8" w:rsidRPr="0071026B" w:rsidRDefault="00951AD8" w:rsidP="00DE265F">
      <w:pPr>
        <w:pStyle w:val="Tekstfusnote"/>
        <w:rPr>
          <w:rFonts w:cstheme="minorHAnsi"/>
        </w:rPr>
      </w:pPr>
      <w:r>
        <w:rPr>
          <w:rStyle w:val="Referencafusnote"/>
        </w:rPr>
        <w:footnoteRef/>
      </w:r>
      <w:r>
        <w:t xml:space="preserve"> članak 63. </w:t>
      </w:r>
      <w:r w:rsidRPr="0071026B">
        <w:rPr>
          <w:rFonts w:cstheme="minorHAnsi"/>
        </w:rPr>
        <w:t>SZ-a</w:t>
      </w:r>
    </w:p>
  </w:footnote>
  <w:footnote w:id="30">
    <w:p w:rsidR="00951AD8" w:rsidRDefault="00951AD8">
      <w:pPr>
        <w:pStyle w:val="Tekstfusnote"/>
      </w:pPr>
      <w:r>
        <w:rPr>
          <w:rStyle w:val="Referencafusnote"/>
        </w:rPr>
        <w:footnoteRef/>
      </w:r>
      <w:r>
        <w:t xml:space="preserve"> članak 19. stavak 4. i 5. SZ-a</w:t>
      </w:r>
    </w:p>
  </w:footnote>
  <w:footnote w:id="31">
    <w:p w:rsidR="00951AD8" w:rsidRDefault="00951AD8" w:rsidP="00D83209">
      <w:pPr>
        <w:pStyle w:val="Tekstfusnote"/>
      </w:pPr>
      <w:r>
        <w:rPr>
          <w:rStyle w:val="Referencafusnote"/>
        </w:rPr>
        <w:footnoteRef/>
      </w:r>
      <w:r>
        <w:t xml:space="preserve"> članak 51. SZ-a</w:t>
      </w:r>
    </w:p>
  </w:footnote>
  <w:footnote w:id="32">
    <w:p w:rsidR="00951AD8" w:rsidRDefault="00951AD8">
      <w:pPr>
        <w:pStyle w:val="Tekstfusnote"/>
      </w:pPr>
      <w:r>
        <w:rPr>
          <w:rStyle w:val="Referencafusnote"/>
        </w:rPr>
        <w:footnoteRef/>
      </w:r>
      <w:r>
        <w:t xml:space="preserve"> članak 11. stavak 6. i članak 19. stavak 8. SZ-a</w:t>
      </w:r>
    </w:p>
  </w:footnote>
  <w:footnote w:id="33">
    <w:p w:rsidR="00951AD8" w:rsidRDefault="00951AD8">
      <w:pPr>
        <w:pStyle w:val="Tekstfusnote"/>
      </w:pPr>
      <w:r>
        <w:rPr>
          <w:rStyle w:val="Referencafusnote"/>
        </w:rPr>
        <w:footnoteRef/>
      </w:r>
      <w:r>
        <w:t xml:space="preserve"> članak 11. stavak 3. SZ-a</w:t>
      </w:r>
    </w:p>
  </w:footnote>
  <w:footnote w:id="34">
    <w:p w:rsidR="00951AD8" w:rsidRDefault="00951AD8">
      <w:pPr>
        <w:pStyle w:val="Tekstfusnote"/>
      </w:pPr>
      <w:r>
        <w:rPr>
          <w:rStyle w:val="Referencafusnote"/>
        </w:rPr>
        <w:footnoteRef/>
      </w:r>
      <w:r>
        <w:t xml:space="preserve"> članak 11. stavak 4. SZ-a</w:t>
      </w:r>
    </w:p>
  </w:footnote>
  <w:footnote w:id="35">
    <w:p w:rsidR="00951AD8" w:rsidRDefault="00951AD8">
      <w:pPr>
        <w:pStyle w:val="Tekstfusnote"/>
      </w:pPr>
      <w:r>
        <w:rPr>
          <w:rStyle w:val="Referencafusnote"/>
        </w:rPr>
        <w:footnoteRef/>
      </w:r>
      <w:r>
        <w:t xml:space="preserve"> članak 12. stavak 3. i 4. SZ-a</w:t>
      </w:r>
    </w:p>
  </w:footnote>
  <w:footnote w:id="36">
    <w:p w:rsidR="00951AD8" w:rsidRDefault="00951AD8" w:rsidP="007F06FC">
      <w:pPr>
        <w:pStyle w:val="Tekstfusnote"/>
      </w:pPr>
      <w:r>
        <w:rPr>
          <w:rStyle w:val="Referencafusnote"/>
        </w:rPr>
        <w:footnoteRef/>
      </w:r>
      <w:r>
        <w:t xml:space="preserve"> članak 26. SZ-a</w:t>
      </w:r>
    </w:p>
  </w:footnote>
  <w:footnote w:id="37">
    <w:p w:rsidR="00951AD8" w:rsidRDefault="00951AD8">
      <w:pPr>
        <w:pStyle w:val="Tekstfusnote"/>
      </w:pPr>
      <w:r>
        <w:rPr>
          <w:rStyle w:val="Referencafusnote"/>
        </w:rPr>
        <w:footnoteRef/>
      </w:r>
      <w:r>
        <w:t xml:space="preserve"> Zakon o računovodstvu (Narodne novine broj 78/15., 134/15. i 120/16.)</w:t>
      </w:r>
    </w:p>
  </w:footnote>
  <w:footnote w:id="38">
    <w:p w:rsidR="00951AD8" w:rsidRDefault="00951AD8">
      <w:pPr>
        <w:pStyle w:val="Tekstfusnote"/>
      </w:pPr>
      <w:r>
        <w:rPr>
          <w:rStyle w:val="Referencafusnote"/>
        </w:rPr>
        <w:footnoteRef/>
      </w:r>
      <w:r>
        <w:t xml:space="preserve"> članak 27. SZ-a</w:t>
      </w:r>
    </w:p>
  </w:footnote>
  <w:footnote w:id="39">
    <w:p w:rsidR="00951AD8" w:rsidRDefault="00951AD8" w:rsidP="007F06FC">
      <w:pPr>
        <w:pStyle w:val="Tekstfusnote"/>
      </w:pPr>
      <w:r>
        <w:rPr>
          <w:rStyle w:val="Referencafusnote"/>
        </w:rPr>
        <w:footnoteRef/>
      </w:r>
      <w:r>
        <w:t xml:space="preserve"> članak 43. stavak 7. SZ-a</w:t>
      </w:r>
    </w:p>
  </w:footnote>
  <w:footnote w:id="40">
    <w:p w:rsidR="00951AD8" w:rsidRDefault="00951AD8">
      <w:pPr>
        <w:pStyle w:val="Tekstfusnote"/>
      </w:pPr>
      <w:r>
        <w:rPr>
          <w:rStyle w:val="Referencafusnote"/>
        </w:rPr>
        <w:footnoteRef/>
      </w:r>
      <w:r>
        <w:t xml:space="preserve"> članak 43. stavak 6. SZ-a</w:t>
      </w:r>
    </w:p>
  </w:footnote>
  <w:footnote w:id="41">
    <w:p w:rsidR="00951AD8" w:rsidRDefault="00951AD8">
      <w:pPr>
        <w:pStyle w:val="Tekstfusnote"/>
      </w:pPr>
      <w:r>
        <w:rPr>
          <w:rStyle w:val="Referencafusnote"/>
        </w:rPr>
        <w:footnoteRef/>
      </w:r>
      <w:r>
        <w:t xml:space="preserve"> članak 59. stavak 2. SZ-a</w:t>
      </w:r>
    </w:p>
  </w:footnote>
  <w:footnote w:id="42">
    <w:p w:rsidR="00951AD8" w:rsidRDefault="00951AD8">
      <w:pPr>
        <w:pStyle w:val="Tekstfusnote"/>
      </w:pPr>
      <w:r>
        <w:rPr>
          <w:rStyle w:val="Referencafusnote"/>
        </w:rPr>
        <w:footnoteRef/>
      </w:r>
      <w:r>
        <w:t xml:space="preserve"> članak 62. stavak 1. SZ-a</w:t>
      </w:r>
    </w:p>
  </w:footnote>
  <w:footnote w:id="43">
    <w:p w:rsidR="00951AD8" w:rsidRDefault="00951AD8">
      <w:pPr>
        <w:pStyle w:val="Tekstfusnote"/>
      </w:pPr>
      <w:r>
        <w:rPr>
          <w:rStyle w:val="Referencafusnote"/>
        </w:rPr>
        <w:footnoteRef/>
      </w:r>
      <w:r>
        <w:t xml:space="preserve"> članak 8. stavak 1. SZ-a</w:t>
      </w:r>
    </w:p>
  </w:footnote>
  <w:footnote w:id="44">
    <w:p w:rsidR="00951AD8" w:rsidRDefault="00951AD8" w:rsidP="0047305C">
      <w:pPr>
        <w:pStyle w:val="Tekstfusnote"/>
      </w:pPr>
      <w:r>
        <w:rPr>
          <w:rStyle w:val="Referencafusnote"/>
        </w:rPr>
        <w:footnoteRef/>
      </w:r>
      <w:r>
        <w:t xml:space="preserve"> članak 37. stavak 1. Zakona o trgovačkim društvima (Narodne novine broj: 111/93.,34/99., 121/99.,52/00.,118/033,,107/07, </w:t>
      </w:r>
    </w:p>
    <w:p w:rsidR="00951AD8" w:rsidRDefault="00951AD8">
      <w:pPr>
        <w:pStyle w:val="Tekstfusnote"/>
      </w:pPr>
      <w:r>
        <w:t>146/08, 137/09,125/11,152/11,111/12,68/13 I 110/15)</w:t>
      </w:r>
    </w:p>
  </w:footnote>
  <w:footnote w:id="45">
    <w:p w:rsidR="00951AD8" w:rsidRDefault="00951AD8">
      <w:pPr>
        <w:pStyle w:val="Tekstfusnote"/>
      </w:pPr>
      <w:r>
        <w:rPr>
          <w:rStyle w:val="Referencafusnote"/>
        </w:rPr>
        <w:footnoteRef/>
      </w:r>
      <w:r>
        <w:t xml:space="preserve"> članak 8. stavak 2. SZ-a</w:t>
      </w:r>
    </w:p>
  </w:footnote>
  <w:footnote w:id="46">
    <w:p w:rsidR="00951AD8" w:rsidRDefault="00951AD8">
      <w:pPr>
        <w:pStyle w:val="Tekstfusnote"/>
      </w:pPr>
      <w:r>
        <w:rPr>
          <w:rStyle w:val="Referencafusnote"/>
        </w:rPr>
        <w:footnoteRef/>
      </w:r>
      <w:r>
        <w:t xml:space="preserve"> članak 26. Zakona o ustanovama (Narodne novine broj: 76/93, 29/97, 47/09 i 35/08)</w:t>
      </w:r>
    </w:p>
  </w:footnote>
  <w:footnote w:id="47">
    <w:p w:rsidR="00951AD8" w:rsidRDefault="00951AD8">
      <w:pPr>
        <w:pStyle w:val="Tekstfusnote"/>
      </w:pPr>
      <w:r>
        <w:rPr>
          <w:rStyle w:val="Referencafusnote"/>
        </w:rPr>
        <w:footnoteRef/>
      </w:r>
      <w:r>
        <w:t xml:space="preserve"> članak 8. stavak 3. SZ-a</w:t>
      </w:r>
    </w:p>
  </w:footnote>
  <w:footnote w:id="48">
    <w:p w:rsidR="00951AD8" w:rsidRDefault="00951AD8">
      <w:pPr>
        <w:pStyle w:val="Tekstfusnote"/>
      </w:pPr>
      <w:r>
        <w:rPr>
          <w:rStyle w:val="Referencafusnote"/>
        </w:rPr>
        <w:footnoteRef/>
      </w:r>
      <w:r>
        <w:t xml:space="preserve"> članak 8. stavak 4. SZ-a</w:t>
      </w:r>
    </w:p>
  </w:footnote>
  <w:footnote w:id="49">
    <w:p w:rsidR="00951AD8" w:rsidRDefault="00951AD8">
      <w:pPr>
        <w:pStyle w:val="Tekstfusnote"/>
      </w:pPr>
      <w:r>
        <w:rPr>
          <w:rStyle w:val="Referencafusnote"/>
        </w:rPr>
        <w:footnoteRef/>
      </w:r>
      <w:r>
        <w:t xml:space="preserve"> članak 9. stavak 3. SZ-a</w:t>
      </w:r>
    </w:p>
  </w:footnote>
  <w:footnote w:id="50">
    <w:p w:rsidR="00951AD8" w:rsidRDefault="00951AD8" w:rsidP="0047305C">
      <w:pPr>
        <w:pStyle w:val="Tekstfusnote"/>
      </w:pPr>
      <w:r>
        <w:rPr>
          <w:rStyle w:val="Referencafusnote"/>
        </w:rPr>
        <w:footnoteRef/>
      </w:r>
      <w:r>
        <w:t xml:space="preserve"> članak 9. stavak 2. SZ-a</w:t>
      </w:r>
    </w:p>
    <w:p w:rsidR="00951AD8" w:rsidRDefault="00951AD8">
      <w:pPr>
        <w:pStyle w:val="Tekstfusnote"/>
      </w:pPr>
    </w:p>
  </w:footnote>
  <w:footnote w:id="51">
    <w:p w:rsidR="00951AD8" w:rsidRDefault="00951AD8" w:rsidP="0083747A">
      <w:pPr>
        <w:pStyle w:val="Tekstfusnote"/>
      </w:pPr>
      <w:r>
        <w:rPr>
          <w:rStyle w:val="Referencafusnote"/>
        </w:rPr>
        <w:footnoteRef/>
      </w:r>
      <w:r>
        <w:t xml:space="preserve"> članak 12. SZ-a</w:t>
      </w:r>
    </w:p>
  </w:footnote>
  <w:footnote w:id="52">
    <w:p w:rsidR="00951AD8" w:rsidRDefault="00951AD8" w:rsidP="0083747A">
      <w:pPr>
        <w:pStyle w:val="Tekstfusnote"/>
      </w:pPr>
      <w:r>
        <w:rPr>
          <w:rStyle w:val="Referencafusnote"/>
        </w:rPr>
        <w:footnoteRef/>
      </w:r>
      <w:r>
        <w:t xml:space="preserve"> članak 112. stavak 2. ZPP-a (vidi odluku VTS RH poslovni broj: </w:t>
      </w:r>
      <w:proofErr w:type="spellStart"/>
      <w:r>
        <w:t>Pž</w:t>
      </w:r>
      <w:proofErr w:type="spellEnd"/>
      <w:r>
        <w:t>-8020/15 od 16.12.2015. u kojoj je računanje roka nezakonito)</w:t>
      </w:r>
    </w:p>
  </w:footnote>
  <w:footnote w:id="53">
    <w:p w:rsidR="00951AD8" w:rsidRDefault="00951AD8" w:rsidP="000314CF">
      <w:pPr>
        <w:pStyle w:val="Tekstfusnote"/>
      </w:pPr>
      <w:r>
        <w:rPr>
          <w:rStyle w:val="Referencafusnote"/>
        </w:rPr>
        <w:footnoteRef/>
      </w:r>
      <w:r>
        <w:t xml:space="preserve"> vidi odluku VTS RH poslovni broj: </w:t>
      </w:r>
      <w:proofErr w:type="spellStart"/>
      <w:r>
        <w:t>Pž</w:t>
      </w:r>
      <w:proofErr w:type="spellEnd"/>
      <w:r>
        <w:t xml:space="preserve">-2528/16 od 13.4.2016. </w:t>
      </w:r>
    </w:p>
  </w:footnote>
  <w:footnote w:id="54">
    <w:p w:rsidR="00951AD8" w:rsidRDefault="00951AD8">
      <w:pPr>
        <w:pStyle w:val="Tekstfusnote"/>
      </w:pPr>
      <w:r>
        <w:rPr>
          <w:rStyle w:val="Referencafusnote"/>
        </w:rPr>
        <w:footnoteRef/>
      </w:r>
      <w:r>
        <w:t xml:space="preserve"> članka 129. stavak 1. točka 1. i 2. SZ-a; članak 430. stavak 1. točka 3. i 4. SZ-a; </w:t>
      </w:r>
    </w:p>
  </w:footnote>
  <w:footnote w:id="55">
    <w:p w:rsidR="00951AD8" w:rsidRDefault="00951AD8" w:rsidP="00763DB4">
      <w:pPr>
        <w:pStyle w:val="Tekstfusnote"/>
      </w:pPr>
      <w:r>
        <w:rPr>
          <w:rStyle w:val="Referencafusnote"/>
        </w:rPr>
        <w:footnoteRef/>
      </w:r>
      <w:r>
        <w:t xml:space="preserve"> članak 18. SZ-a</w:t>
      </w:r>
    </w:p>
  </w:footnote>
  <w:footnote w:id="56">
    <w:p w:rsidR="00951AD8" w:rsidRDefault="00951AD8">
      <w:pPr>
        <w:pStyle w:val="Tekstfusnote"/>
      </w:pPr>
      <w:r>
        <w:rPr>
          <w:rStyle w:val="Referencafusnote"/>
        </w:rPr>
        <w:footnoteRef/>
      </w:r>
      <w:r>
        <w:t xml:space="preserve"> članak 19. stavak 1.- 5. SZ-a</w:t>
      </w:r>
    </w:p>
  </w:footnote>
  <w:footnote w:id="57">
    <w:p w:rsidR="00951AD8" w:rsidRDefault="00951AD8">
      <w:pPr>
        <w:pStyle w:val="Tekstfusnote"/>
      </w:pPr>
      <w:r>
        <w:rPr>
          <w:rStyle w:val="Referencafusnote"/>
        </w:rPr>
        <w:footnoteRef/>
      </w:r>
      <w:r>
        <w:t xml:space="preserve"> članak 19. stavak 7. SZ-a</w:t>
      </w:r>
    </w:p>
  </w:footnote>
  <w:footnote w:id="58">
    <w:p w:rsidR="00951AD8" w:rsidRDefault="00951AD8">
      <w:pPr>
        <w:pStyle w:val="Tekstfusnote"/>
      </w:pPr>
      <w:r>
        <w:rPr>
          <w:rStyle w:val="Referencafusnote"/>
        </w:rPr>
        <w:footnoteRef/>
      </w:r>
      <w:r>
        <w:t xml:space="preserve"> Zakon o državnim potporama (Narodne novine broj: 47/14-pročišćeni tekst); Pravilnik o dostavi prijedloga državnih potpora i podataka o državnim potporama (Narodne novine broj: 99/13); Odluka o donošenju Smjernica politike državnih potpora za razdoblje 2016. -2018. (Narodne novine broj: 47/16) </w:t>
      </w:r>
    </w:p>
  </w:footnote>
  <w:footnote w:id="59">
    <w:p w:rsidR="00951AD8" w:rsidRDefault="00951AD8">
      <w:pPr>
        <w:pStyle w:val="Tekstfusnote"/>
      </w:pPr>
      <w:r>
        <w:rPr>
          <w:rStyle w:val="Referencafusnote"/>
        </w:rPr>
        <w:footnoteRef/>
      </w:r>
      <w:r>
        <w:t xml:space="preserve"> članak 20. SZ-a</w:t>
      </w:r>
    </w:p>
  </w:footnote>
  <w:footnote w:id="60">
    <w:p w:rsidR="00951AD8" w:rsidRDefault="00951AD8">
      <w:pPr>
        <w:pStyle w:val="Tekstfusnote"/>
      </w:pPr>
      <w:r>
        <w:rPr>
          <w:rStyle w:val="Referencafusnote"/>
        </w:rPr>
        <w:footnoteRef/>
      </w:r>
      <w:r>
        <w:t xml:space="preserve"> članak 21. SZ-a</w:t>
      </w:r>
    </w:p>
  </w:footnote>
  <w:footnote w:id="61">
    <w:p w:rsidR="00951AD8" w:rsidRDefault="00951AD8">
      <w:pPr>
        <w:pStyle w:val="Tekstfusnote"/>
      </w:pPr>
      <w:r>
        <w:rPr>
          <w:rStyle w:val="Referencafusnote"/>
        </w:rPr>
        <w:footnoteRef/>
      </w:r>
      <w:r>
        <w:t xml:space="preserve"> članak 33. stavak 2. SZ-a</w:t>
      </w:r>
    </w:p>
  </w:footnote>
  <w:footnote w:id="62">
    <w:p w:rsidR="00951AD8" w:rsidRDefault="00951AD8">
      <w:pPr>
        <w:pStyle w:val="Tekstfusnote"/>
      </w:pPr>
      <w:r>
        <w:rPr>
          <w:rStyle w:val="Referencafusnote"/>
        </w:rPr>
        <w:footnoteRef/>
      </w:r>
      <w:r>
        <w:t xml:space="preserve"> vidi rješenje VTS RH poslovni broj: </w:t>
      </w:r>
      <w:proofErr w:type="spellStart"/>
      <w:r>
        <w:t>Pž</w:t>
      </w:r>
      <w:proofErr w:type="spellEnd"/>
      <w:r>
        <w:t>-7365/17 od 13. prosinca 2017.</w:t>
      </w:r>
    </w:p>
  </w:footnote>
  <w:footnote w:id="63">
    <w:p w:rsidR="00951AD8" w:rsidRDefault="00951AD8">
      <w:pPr>
        <w:pStyle w:val="Tekstfusnote"/>
      </w:pPr>
      <w:r>
        <w:rPr>
          <w:rStyle w:val="Referencafusnote"/>
        </w:rPr>
        <w:footnoteRef/>
      </w:r>
      <w:r>
        <w:t xml:space="preserve"> Pravilnik o popisu jedinica FINA-e i područja njihove nadležnosti u </w:t>
      </w:r>
      <w:proofErr w:type="spellStart"/>
      <w:r>
        <w:t>predstečajnom</w:t>
      </w:r>
      <w:proofErr w:type="spellEnd"/>
      <w:r>
        <w:t xml:space="preserve"> postupku (Narodne novine broj:106 od 5.  </w:t>
      </w:r>
    </w:p>
    <w:p w:rsidR="00951AD8" w:rsidRDefault="00951AD8">
      <w:pPr>
        <w:pStyle w:val="Tekstfusnote"/>
      </w:pPr>
      <w:r>
        <w:t xml:space="preserve">    listopada 2015.)</w:t>
      </w:r>
    </w:p>
  </w:footnote>
  <w:footnote w:id="64">
    <w:p w:rsidR="00951AD8" w:rsidRDefault="00951AD8">
      <w:pPr>
        <w:pStyle w:val="Tekstfusnote"/>
      </w:pPr>
      <w:r>
        <w:rPr>
          <w:rStyle w:val="Referencafusnote"/>
        </w:rPr>
        <w:footnoteRef/>
      </w:r>
      <w:r>
        <w:t xml:space="preserve"> Pravilnik o vrsti i visini naknade troškova FINA-e u </w:t>
      </w:r>
      <w:proofErr w:type="spellStart"/>
      <w:r>
        <w:t>predstečajnom</w:t>
      </w:r>
      <w:proofErr w:type="spellEnd"/>
      <w:r>
        <w:t xml:space="preserve"> postupku i o visini troška FINA-e za podnošenje prijedloga za otvaranje stečajnog postupka ((Narodne novine broj:106 od 5. listopada 2015.)</w:t>
      </w:r>
    </w:p>
  </w:footnote>
  <w:footnote w:id="65">
    <w:p w:rsidR="00951AD8" w:rsidRDefault="00951AD8" w:rsidP="002B7AF3">
      <w:pPr>
        <w:pStyle w:val="Tekstfusnote"/>
      </w:pPr>
      <w:r>
        <w:rPr>
          <w:rStyle w:val="Referencafusnote"/>
        </w:rPr>
        <w:footnoteRef/>
      </w:r>
      <w:r>
        <w:t xml:space="preserve"> Članak 44. SZ-a</w:t>
      </w:r>
    </w:p>
  </w:footnote>
  <w:footnote w:id="66">
    <w:p w:rsidR="00951AD8" w:rsidRDefault="00951AD8" w:rsidP="002B7AF3">
      <w:pPr>
        <w:pStyle w:val="Tekstfusnote"/>
      </w:pPr>
      <w:r>
        <w:rPr>
          <w:rStyle w:val="Referencafusnote"/>
        </w:rPr>
        <w:footnoteRef/>
      </w:r>
      <w:r>
        <w:t xml:space="preserve"> članak 45. stavak 1. SZ-a</w:t>
      </w:r>
    </w:p>
  </w:footnote>
  <w:footnote w:id="67">
    <w:p w:rsidR="00951AD8" w:rsidRDefault="00951AD8" w:rsidP="002B7AF3">
      <w:pPr>
        <w:pStyle w:val="Tekstfusnote"/>
      </w:pPr>
      <w:r>
        <w:rPr>
          <w:rStyle w:val="Referencafusnote"/>
        </w:rPr>
        <w:footnoteRef/>
      </w:r>
      <w:r>
        <w:t xml:space="preserve"> članak 45. stavak 2. SZ-a</w:t>
      </w:r>
    </w:p>
  </w:footnote>
  <w:footnote w:id="68">
    <w:p w:rsidR="00951AD8" w:rsidRDefault="00951AD8">
      <w:pPr>
        <w:pStyle w:val="Tekstfusnote"/>
      </w:pPr>
      <w:r>
        <w:rPr>
          <w:rStyle w:val="Referencafusnote"/>
        </w:rPr>
        <w:footnoteRef/>
      </w:r>
      <w:r>
        <w:t xml:space="preserve"> članak 22. SZ-a</w:t>
      </w:r>
    </w:p>
  </w:footnote>
  <w:footnote w:id="69">
    <w:p w:rsidR="00951AD8" w:rsidRDefault="00951AD8">
      <w:pPr>
        <w:pStyle w:val="Tekstfusnote"/>
      </w:pPr>
      <w:r>
        <w:rPr>
          <w:rStyle w:val="Referencafusnote"/>
        </w:rPr>
        <w:footnoteRef/>
      </w:r>
      <w:r>
        <w:t xml:space="preserve"> Instruktivan (</w:t>
      </w:r>
      <w:proofErr w:type="spellStart"/>
      <w:r>
        <w:t>monitoran</w:t>
      </w:r>
      <w:proofErr w:type="spellEnd"/>
      <w:r>
        <w:t>) rok je onaj koji je predviđen samo radi požurivanja poduzimanja neke radnje, koja se ipak može obaviti i nakon isteka roka.</w:t>
      </w:r>
    </w:p>
  </w:footnote>
  <w:footnote w:id="70">
    <w:p w:rsidR="00951AD8" w:rsidRDefault="00951AD8" w:rsidP="00023611">
      <w:pPr>
        <w:pStyle w:val="Tekstfusnote"/>
      </w:pPr>
      <w:r>
        <w:rPr>
          <w:rStyle w:val="Referencafusnote"/>
        </w:rPr>
        <w:footnoteRef/>
      </w:r>
      <w:r>
        <w:t xml:space="preserve"> Zakon o računovodstvu (Narodne novine broj: 78/15, 134/15 i 120/16.)</w:t>
      </w:r>
    </w:p>
  </w:footnote>
  <w:footnote w:id="71">
    <w:p w:rsidR="00951AD8" w:rsidRPr="0071026B" w:rsidRDefault="00951AD8" w:rsidP="00023611">
      <w:pPr>
        <w:pStyle w:val="Tekstfusnote"/>
        <w:rPr>
          <w:rFonts w:cstheme="minorHAnsi"/>
        </w:rPr>
      </w:pPr>
      <w:r>
        <w:rPr>
          <w:rStyle w:val="Referencafusnote"/>
        </w:rPr>
        <w:footnoteRef/>
      </w:r>
      <w:r>
        <w:t xml:space="preserve"> </w:t>
      </w:r>
      <w:r w:rsidRPr="0071026B">
        <w:rPr>
          <w:rFonts w:cstheme="minorHAnsi"/>
        </w:rPr>
        <w:t>članak 26. SZ-a</w:t>
      </w:r>
    </w:p>
  </w:footnote>
  <w:footnote w:id="72">
    <w:p w:rsidR="00951AD8" w:rsidRPr="0071026B" w:rsidRDefault="00951AD8" w:rsidP="00354058">
      <w:pPr>
        <w:pStyle w:val="Tekstfusnote"/>
        <w:rPr>
          <w:rFonts w:cstheme="minorHAnsi"/>
        </w:rPr>
      </w:pPr>
      <w:r w:rsidRPr="0071026B">
        <w:rPr>
          <w:rStyle w:val="Referencafusnote"/>
          <w:rFonts w:cstheme="minorHAnsi"/>
        </w:rPr>
        <w:footnoteRef/>
      </w:r>
      <w:r w:rsidRPr="0071026B">
        <w:rPr>
          <w:rFonts w:cstheme="minorHAnsi"/>
        </w:rPr>
        <w:t xml:space="preserve"> članak 3. st</w:t>
      </w:r>
      <w:r>
        <w:rPr>
          <w:rFonts w:cstheme="minorHAnsi"/>
        </w:rPr>
        <w:t>avak</w:t>
      </w:r>
      <w:r w:rsidRPr="0071026B">
        <w:rPr>
          <w:rFonts w:cstheme="minorHAnsi"/>
        </w:rPr>
        <w:t xml:space="preserve"> 1. SZ-a</w:t>
      </w:r>
    </w:p>
  </w:footnote>
  <w:footnote w:id="73">
    <w:p w:rsidR="00951AD8" w:rsidRPr="0071026B" w:rsidRDefault="00951AD8" w:rsidP="00354058">
      <w:pPr>
        <w:pStyle w:val="Tekstfusnote"/>
        <w:jc w:val="both"/>
        <w:rPr>
          <w:rFonts w:cstheme="minorHAnsi"/>
        </w:rPr>
      </w:pPr>
      <w:r w:rsidRPr="0071026B">
        <w:rPr>
          <w:rStyle w:val="Referencafusnote"/>
          <w:rFonts w:cstheme="minorHAnsi"/>
        </w:rPr>
        <w:footnoteRef/>
      </w:r>
      <w:r w:rsidRPr="0071026B">
        <w:rPr>
          <w:rFonts w:cstheme="minorHAnsi"/>
        </w:rPr>
        <w:t xml:space="preserve"> Zakon o porezu na dohodak (Narodne novine broj: 115/16.). Prema ovom Zakonu porezni obveznik je fizička osoba koja ostvaruje dohodak od nesamostalnog rada, samostalne djelatnosti, dohodak od imovine i imovinskih prava, dohodak od kapitala, dohodak od osiguranja i/ili drugih dohodaka.</w:t>
      </w:r>
    </w:p>
  </w:footnote>
  <w:footnote w:id="74">
    <w:p w:rsidR="00951AD8" w:rsidRPr="0071026B" w:rsidRDefault="00951AD8" w:rsidP="00354058">
      <w:pPr>
        <w:pStyle w:val="Tekstfusnote"/>
        <w:rPr>
          <w:rFonts w:cstheme="minorHAnsi"/>
        </w:rPr>
      </w:pPr>
      <w:r w:rsidRPr="0071026B">
        <w:rPr>
          <w:rStyle w:val="Referencafusnote"/>
          <w:rFonts w:cstheme="minorHAnsi"/>
        </w:rPr>
        <w:footnoteRef/>
      </w:r>
      <w:r w:rsidRPr="0071026B">
        <w:rPr>
          <w:rFonts w:cstheme="minorHAnsi"/>
        </w:rPr>
        <w:t xml:space="preserve"> Zakon o porezu na dobit (Narodne novine broj: 177/04., 57/06., 146/08., 80/10., 22/12., 1489/13., 143/14., 50/16. i 115/16.)</w:t>
      </w:r>
    </w:p>
  </w:footnote>
  <w:footnote w:id="75">
    <w:p w:rsidR="00951AD8" w:rsidRPr="0071026B" w:rsidRDefault="00951AD8">
      <w:pPr>
        <w:pStyle w:val="Tekstfusnote"/>
        <w:rPr>
          <w:rFonts w:cstheme="minorHAnsi"/>
        </w:rPr>
      </w:pPr>
      <w:r w:rsidRPr="0071026B">
        <w:rPr>
          <w:rStyle w:val="Referencafusnote"/>
          <w:rFonts w:cstheme="minorHAnsi"/>
        </w:rPr>
        <w:footnoteRef/>
      </w:r>
      <w:r w:rsidRPr="0071026B">
        <w:rPr>
          <w:rFonts w:cstheme="minorHAnsi"/>
        </w:rPr>
        <w:t xml:space="preserve"> Financijske institucije su banke, kase, štedionice</w:t>
      </w:r>
    </w:p>
  </w:footnote>
  <w:footnote w:id="76">
    <w:p w:rsidR="00951AD8" w:rsidRPr="0071026B" w:rsidRDefault="00951AD8">
      <w:pPr>
        <w:pStyle w:val="Tekstfusnote"/>
        <w:rPr>
          <w:rFonts w:cstheme="minorHAnsi"/>
        </w:rPr>
      </w:pPr>
      <w:r w:rsidRPr="0071026B">
        <w:rPr>
          <w:rStyle w:val="Referencafusnote"/>
          <w:rFonts w:cstheme="minorHAnsi"/>
        </w:rPr>
        <w:footnoteRef/>
      </w:r>
      <w:r w:rsidRPr="0071026B">
        <w:rPr>
          <w:rFonts w:cstheme="minorHAnsi"/>
        </w:rPr>
        <w:t xml:space="preserve"> Investicijsko društvo je pravna osoba čija je redovita djelatnost pružanje jedne ili više investicijskih usluga trećima i/ili obavljanje jedne ili više investicijskih aktivnosti na profesionalnoj osnovi (Zakon o tržištu kapitala- Narodne novine broj: 88/08, 146/08, 74/09, 54/13, 159/13, 18/15 i 110/15)</w:t>
      </w:r>
    </w:p>
  </w:footnote>
  <w:footnote w:id="77">
    <w:p w:rsidR="00951AD8" w:rsidRPr="0071026B" w:rsidRDefault="00951AD8">
      <w:pPr>
        <w:pStyle w:val="Tekstfusnote"/>
        <w:rPr>
          <w:rFonts w:cstheme="minorHAnsi"/>
        </w:rPr>
      </w:pPr>
      <w:r w:rsidRPr="0071026B">
        <w:rPr>
          <w:rStyle w:val="Referencafusnote"/>
          <w:rFonts w:cstheme="minorHAnsi"/>
        </w:rPr>
        <w:footnoteRef/>
      </w:r>
      <w:r w:rsidRPr="0071026B">
        <w:rPr>
          <w:rFonts w:cstheme="minorHAnsi"/>
        </w:rPr>
        <w:t xml:space="preserve"> </w:t>
      </w:r>
      <w:r w:rsidRPr="00C71A8A">
        <w:rPr>
          <w:rFonts w:cstheme="minorHAnsi"/>
          <w:bCs/>
        </w:rPr>
        <w:t>Kreditna institucija</w:t>
      </w:r>
      <w:r w:rsidRPr="0071026B">
        <w:rPr>
          <w:rFonts w:cstheme="minorHAnsi"/>
        </w:rPr>
        <w:t xml:space="preserve"> je pravna osoba čija je djelatnost primanje depozita ili drugih povratnih sredstava od javnosti i odobravanje kredita za svoj račun (zakon o kreditnim institucijama – Narodne  novine broj: 159/13, 19/15 i 102/15)</w:t>
      </w:r>
    </w:p>
  </w:footnote>
  <w:footnote w:id="78">
    <w:p w:rsidR="00951AD8" w:rsidRPr="0071026B" w:rsidRDefault="00951AD8">
      <w:pPr>
        <w:pStyle w:val="Tekstfusnote"/>
        <w:rPr>
          <w:rFonts w:cstheme="minorHAnsi"/>
        </w:rPr>
      </w:pPr>
      <w:r w:rsidRPr="0071026B">
        <w:rPr>
          <w:rStyle w:val="Referencafusnote"/>
          <w:rFonts w:cstheme="minorHAnsi"/>
        </w:rPr>
        <w:footnoteRef/>
      </w:r>
      <w:r w:rsidRPr="0071026B">
        <w:rPr>
          <w:rFonts w:cstheme="minorHAnsi"/>
        </w:rPr>
        <w:t xml:space="preserve"> Društvo za osiguranje je pravna osoba  sa sjedištem u RH koja obavlja poslove životnog ili neživotnog osiguranja, koje ima odobrenje Agencije za obavljanje poslova osiguranja i upisano je u sudski registar nadležnog suda (čl. 3. st. 1. podstavak 1. Zakona o osiguranju – Narodne novine broj: 30/15)</w:t>
      </w:r>
    </w:p>
  </w:footnote>
  <w:footnote w:id="79">
    <w:p w:rsidR="00951AD8" w:rsidRPr="0071026B" w:rsidRDefault="00951AD8" w:rsidP="00DE338F">
      <w:pPr>
        <w:pStyle w:val="Tekstfusnote"/>
        <w:rPr>
          <w:rFonts w:cstheme="minorHAnsi"/>
        </w:rPr>
      </w:pPr>
      <w:r w:rsidRPr="0071026B">
        <w:rPr>
          <w:rStyle w:val="Referencafusnote"/>
          <w:rFonts w:cstheme="minorHAnsi"/>
        </w:rPr>
        <w:footnoteRef/>
      </w:r>
      <w:r w:rsidRPr="0071026B">
        <w:rPr>
          <w:rFonts w:cstheme="minorHAnsi"/>
        </w:rPr>
        <w:t xml:space="preserve"> članak 3. st</w:t>
      </w:r>
      <w:r>
        <w:rPr>
          <w:rFonts w:cstheme="minorHAnsi"/>
        </w:rPr>
        <w:t>avak</w:t>
      </w:r>
      <w:r w:rsidRPr="0071026B">
        <w:rPr>
          <w:rFonts w:cstheme="minorHAnsi"/>
        </w:rPr>
        <w:t xml:space="preserve"> 2. i 6. SZ-a</w:t>
      </w:r>
    </w:p>
  </w:footnote>
  <w:footnote w:id="80">
    <w:p w:rsidR="00951AD8" w:rsidRDefault="00951AD8">
      <w:pPr>
        <w:pStyle w:val="Tekstfusnote"/>
      </w:pPr>
      <w:r>
        <w:rPr>
          <w:rStyle w:val="Referencafusnote"/>
        </w:rPr>
        <w:footnoteRef/>
      </w:r>
      <w:r>
        <w:t xml:space="preserve"> članak 3. stavak 3. SZ-a</w:t>
      </w:r>
    </w:p>
  </w:footnote>
  <w:footnote w:id="81">
    <w:p w:rsidR="00951AD8" w:rsidRDefault="00951AD8">
      <w:pPr>
        <w:pStyle w:val="Tekstfusnote"/>
      </w:pPr>
      <w:r>
        <w:rPr>
          <w:rStyle w:val="Referencafusnote"/>
        </w:rPr>
        <w:footnoteRef/>
      </w:r>
      <w:r>
        <w:t xml:space="preserve"> članak 3. stavak 5. SZ-a</w:t>
      </w:r>
    </w:p>
  </w:footnote>
  <w:footnote w:id="82">
    <w:p w:rsidR="00951AD8" w:rsidRDefault="00951AD8" w:rsidP="00354058">
      <w:pPr>
        <w:pStyle w:val="Tekstfusnote"/>
      </w:pPr>
      <w:r>
        <w:rPr>
          <w:rStyle w:val="Referencafusnote"/>
        </w:rPr>
        <w:footnoteRef/>
      </w:r>
      <w:r>
        <w:t xml:space="preserve"> članak 15. stavak 1. SZ-a</w:t>
      </w:r>
    </w:p>
  </w:footnote>
  <w:footnote w:id="83">
    <w:p w:rsidR="00951AD8" w:rsidRDefault="00951AD8" w:rsidP="006F6DA5">
      <w:pPr>
        <w:pStyle w:val="Tekstfusnote"/>
      </w:pPr>
      <w:r>
        <w:rPr>
          <w:rStyle w:val="Referencafusnote"/>
        </w:rPr>
        <w:footnoteRef/>
      </w:r>
      <w:r>
        <w:t xml:space="preserve"> članak 16. stavak 5. SZ-a</w:t>
      </w:r>
    </w:p>
  </w:footnote>
  <w:footnote w:id="84">
    <w:p w:rsidR="00951AD8" w:rsidRDefault="00951AD8" w:rsidP="006F6DA5">
      <w:pPr>
        <w:pStyle w:val="Tekstfusnote"/>
      </w:pPr>
      <w:r>
        <w:rPr>
          <w:rStyle w:val="Referencafusnote"/>
        </w:rPr>
        <w:footnoteRef/>
      </w:r>
      <w:r>
        <w:t xml:space="preserve"> članak 31. stavak 2. i 3. SZ-a</w:t>
      </w:r>
    </w:p>
  </w:footnote>
  <w:footnote w:id="85">
    <w:p w:rsidR="00951AD8" w:rsidRDefault="00951AD8">
      <w:pPr>
        <w:pStyle w:val="Tekstfusnote"/>
      </w:pPr>
      <w:r>
        <w:rPr>
          <w:rStyle w:val="Referencafusnote"/>
        </w:rPr>
        <w:footnoteRef/>
      </w:r>
      <w:r>
        <w:t xml:space="preserve"> Vidi odluku VTS RH poslovni broj: </w:t>
      </w:r>
      <w:proofErr w:type="spellStart"/>
      <w:r>
        <w:t>Pž</w:t>
      </w:r>
      <w:proofErr w:type="spellEnd"/>
      <w:r>
        <w:t>-7759/17 od 16.1.2018.</w:t>
      </w:r>
    </w:p>
  </w:footnote>
  <w:footnote w:id="86">
    <w:p w:rsidR="00951AD8" w:rsidRDefault="00951AD8">
      <w:pPr>
        <w:pStyle w:val="Tekstfusnote"/>
      </w:pPr>
      <w:r>
        <w:rPr>
          <w:rStyle w:val="Referencafusnote"/>
        </w:rPr>
        <w:footnoteRef/>
      </w:r>
      <w:r>
        <w:t xml:space="preserve"> vidi odluke VTS RH poslovni broj </w:t>
      </w:r>
      <w:proofErr w:type="spellStart"/>
      <w:r>
        <w:t>Pž</w:t>
      </w:r>
      <w:proofErr w:type="spellEnd"/>
      <w:r>
        <w:t xml:space="preserve">-6723/17 od 29.11.2017. i </w:t>
      </w:r>
      <w:proofErr w:type="spellStart"/>
      <w:r>
        <w:t>Pž</w:t>
      </w:r>
      <w:proofErr w:type="spellEnd"/>
      <w:r>
        <w:t>-6375/17 od 18.10.2017.</w:t>
      </w:r>
    </w:p>
  </w:footnote>
  <w:footnote w:id="87">
    <w:p w:rsidR="00951AD8" w:rsidRDefault="00951AD8">
      <w:pPr>
        <w:pStyle w:val="Tekstfusnote"/>
      </w:pPr>
      <w:r>
        <w:rPr>
          <w:rStyle w:val="Referencafusnote"/>
        </w:rPr>
        <w:footnoteRef/>
      </w:r>
      <w:r>
        <w:t xml:space="preserve"> članak 17. stavak 1. točka 12. SZ-a</w:t>
      </w:r>
    </w:p>
  </w:footnote>
  <w:footnote w:id="88">
    <w:p w:rsidR="00951AD8" w:rsidRDefault="00951AD8">
      <w:pPr>
        <w:pStyle w:val="Tekstfusnote"/>
      </w:pPr>
      <w:r>
        <w:rPr>
          <w:rStyle w:val="Referencafusnote"/>
        </w:rPr>
        <w:footnoteRef/>
      </w:r>
      <w:r>
        <w:t xml:space="preserve"> vidi odluke VTS RH poslovni broj </w:t>
      </w:r>
      <w:proofErr w:type="spellStart"/>
      <w:r>
        <w:t>Pž</w:t>
      </w:r>
      <w:proofErr w:type="spellEnd"/>
      <w:r>
        <w:t xml:space="preserve">-8442/16 od 11.1.2017. i </w:t>
      </w:r>
      <w:proofErr w:type="spellStart"/>
      <w:r>
        <w:t>Pž</w:t>
      </w:r>
      <w:proofErr w:type="spellEnd"/>
      <w:r>
        <w:t xml:space="preserve">-5734/17 od 26.9.2017. </w:t>
      </w:r>
    </w:p>
  </w:footnote>
  <w:footnote w:id="89">
    <w:p w:rsidR="00951AD8" w:rsidRDefault="00951AD8">
      <w:pPr>
        <w:pStyle w:val="Tekstfusnote"/>
      </w:pPr>
      <w:r>
        <w:rPr>
          <w:rStyle w:val="Referencafusnote"/>
        </w:rPr>
        <w:footnoteRef/>
      </w:r>
      <w:r>
        <w:t xml:space="preserve"> članak 32. stavak 2. SZ-a –vidi odluke VTS RH poslovni broj: </w:t>
      </w:r>
      <w:proofErr w:type="spellStart"/>
      <w:r>
        <w:t>Pž</w:t>
      </w:r>
      <w:proofErr w:type="spellEnd"/>
      <w:r>
        <w:t xml:space="preserve">-6649/17 od 8.11.2017. i </w:t>
      </w:r>
      <w:proofErr w:type="spellStart"/>
      <w:r>
        <w:t>Pž</w:t>
      </w:r>
      <w:proofErr w:type="spellEnd"/>
      <w:r>
        <w:t>-6932/17 od 5.12.2017.</w:t>
      </w:r>
    </w:p>
  </w:footnote>
  <w:footnote w:id="90">
    <w:p w:rsidR="00951AD8" w:rsidRDefault="00951AD8">
      <w:pPr>
        <w:pStyle w:val="Tekstfusnote"/>
      </w:pPr>
      <w:r>
        <w:rPr>
          <w:rStyle w:val="Referencafusnote"/>
        </w:rPr>
        <w:footnoteRef/>
      </w:r>
      <w:r>
        <w:t xml:space="preserve"> članak 4. SZ-a</w:t>
      </w:r>
    </w:p>
  </w:footnote>
  <w:footnote w:id="91">
    <w:p w:rsidR="00951AD8" w:rsidRDefault="00951AD8">
      <w:pPr>
        <w:pStyle w:val="Tekstfusnote"/>
      </w:pPr>
      <w:r>
        <w:rPr>
          <w:rStyle w:val="Referencafusnote"/>
        </w:rPr>
        <w:footnoteRef/>
      </w:r>
      <w:r>
        <w:t xml:space="preserve"> članak 5. i 6. SZ-a</w:t>
      </w:r>
    </w:p>
  </w:footnote>
  <w:footnote w:id="92">
    <w:p w:rsidR="00951AD8" w:rsidRDefault="00951AD8" w:rsidP="000C3542">
      <w:pPr>
        <w:pStyle w:val="Tekstfusnote"/>
      </w:pPr>
      <w:r>
        <w:rPr>
          <w:rStyle w:val="Referencafusnote"/>
        </w:rPr>
        <w:footnoteRef/>
      </w:r>
      <w:r>
        <w:t xml:space="preserve"> vidi odluke VTSRH poslovni broj: </w:t>
      </w:r>
      <w:proofErr w:type="spellStart"/>
      <w:r>
        <w:t>Pž</w:t>
      </w:r>
      <w:proofErr w:type="spellEnd"/>
      <w:r>
        <w:t xml:space="preserve">-433/16 od 8.3.2016. i </w:t>
      </w:r>
      <w:proofErr w:type="spellStart"/>
      <w:r>
        <w:t>Pž</w:t>
      </w:r>
      <w:proofErr w:type="spellEnd"/>
      <w:r>
        <w:t>-8536/16 od 18.1.2017.</w:t>
      </w:r>
    </w:p>
  </w:footnote>
  <w:footnote w:id="93">
    <w:p w:rsidR="00951AD8" w:rsidRDefault="00951AD8">
      <w:pPr>
        <w:pStyle w:val="Tekstfusnote"/>
      </w:pPr>
      <w:r>
        <w:rPr>
          <w:rStyle w:val="Referencafusnote"/>
        </w:rPr>
        <w:footnoteRef/>
      </w:r>
      <w:r>
        <w:t xml:space="preserve"> vidi odluke VTS RH poslovni broj: </w:t>
      </w:r>
      <w:proofErr w:type="spellStart"/>
      <w:r>
        <w:t>Pž</w:t>
      </w:r>
      <w:proofErr w:type="spellEnd"/>
      <w:r>
        <w:t xml:space="preserve">-6649/17 od 8.11.2017. i </w:t>
      </w:r>
      <w:proofErr w:type="spellStart"/>
      <w:r>
        <w:t>Pž</w:t>
      </w:r>
      <w:proofErr w:type="spellEnd"/>
      <w:r>
        <w:t>-6932/17 od 5.12.2017.</w:t>
      </w:r>
    </w:p>
  </w:footnote>
  <w:footnote w:id="94">
    <w:p w:rsidR="00951AD8" w:rsidRDefault="00951AD8">
      <w:pPr>
        <w:pStyle w:val="Tekstfusnote"/>
      </w:pPr>
      <w:r>
        <w:rPr>
          <w:rStyle w:val="Referencafusnote"/>
        </w:rPr>
        <w:footnoteRef/>
      </w:r>
      <w:r>
        <w:t xml:space="preserve"> članak 15. stavak 2. SZ-a</w:t>
      </w:r>
    </w:p>
  </w:footnote>
  <w:footnote w:id="95">
    <w:p w:rsidR="00951AD8" w:rsidRDefault="00951AD8">
      <w:pPr>
        <w:pStyle w:val="Tekstfusnote"/>
      </w:pPr>
      <w:r>
        <w:rPr>
          <w:rStyle w:val="Referencafusnote"/>
        </w:rPr>
        <w:footnoteRef/>
      </w:r>
      <w:r>
        <w:t xml:space="preserve"> članak 64. SZ-a</w:t>
      </w:r>
    </w:p>
  </w:footnote>
  <w:footnote w:id="96">
    <w:p w:rsidR="00951AD8" w:rsidRDefault="00951AD8">
      <w:pPr>
        <w:pStyle w:val="Tekstfusnote"/>
      </w:pPr>
      <w:r>
        <w:rPr>
          <w:rStyle w:val="Referencafusnote"/>
        </w:rPr>
        <w:footnoteRef/>
      </w:r>
      <w:r>
        <w:t xml:space="preserve"> članak 19. stavak 1. ZPP-a</w:t>
      </w:r>
    </w:p>
  </w:footnote>
  <w:footnote w:id="97">
    <w:p w:rsidR="00951AD8" w:rsidRDefault="00951AD8" w:rsidP="0009508E">
      <w:pPr>
        <w:pStyle w:val="Tekstfusnote"/>
      </w:pPr>
      <w:r>
        <w:rPr>
          <w:rStyle w:val="Referencafusnote"/>
        </w:rPr>
        <w:footnoteRef/>
      </w:r>
      <w:r>
        <w:t xml:space="preserve"> članak 208. stavak 3. SZ-a</w:t>
      </w:r>
    </w:p>
  </w:footnote>
  <w:footnote w:id="98">
    <w:p w:rsidR="00951AD8" w:rsidRDefault="00951AD8">
      <w:pPr>
        <w:pStyle w:val="Tekstfusnote"/>
      </w:pPr>
      <w:r>
        <w:rPr>
          <w:rStyle w:val="Referencafusnote"/>
        </w:rPr>
        <w:footnoteRef/>
      </w:r>
      <w:r>
        <w:t xml:space="preserve"> članak 168. stavak 1. SZ-a</w:t>
      </w:r>
    </w:p>
  </w:footnote>
  <w:footnote w:id="99">
    <w:p w:rsidR="00951AD8" w:rsidRDefault="00951AD8">
      <w:pPr>
        <w:pStyle w:val="Tekstfusnote"/>
      </w:pPr>
      <w:r>
        <w:rPr>
          <w:rStyle w:val="Referencafusnote"/>
        </w:rPr>
        <w:footnoteRef/>
      </w:r>
      <w:r>
        <w:t xml:space="preserve"> članak 109. stavak 7. SZ-a</w:t>
      </w:r>
    </w:p>
  </w:footnote>
  <w:footnote w:id="100">
    <w:p w:rsidR="00951AD8" w:rsidRDefault="00951AD8">
      <w:pPr>
        <w:pStyle w:val="Tekstfusnote"/>
      </w:pPr>
      <w:r>
        <w:rPr>
          <w:rStyle w:val="Referencafusnote"/>
        </w:rPr>
        <w:footnoteRef/>
      </w:r>
      <w:r>
        <w:t xml:space="preserve"> vidi odluke VTSRH poslovni broj: </w:t>
      </w:r>
      <w:proofErr w:type="spellStart"/>
      <w:r>
        <w:t>Pž</w:t>
      </w:r>
      <w:proofErr w:type="spellEnd"/>
      <w:r>
        <w:t xml:space="preserve">-5720/16 od 24.8.2016., </w:t>
      </w:r>
      <w:proofErr w:type="spellStart"/>
      <w:r>
        <w:t>Pž</w:t>
      </w:r>
      <w:proofErr w:type="spellEnd"/>
      <w:r>
        <w:t xml:space="preserve">-3808/16 od 13.7.2016., </w:t>
      </w:r>
      <w:proofErr w:type="spellStart"/>
      <w:r>
        <w:t>Pž</w:t>
      </w:r>
      <w:proofErr w:type="spellEnd"/>
      <w:r>
        <w:t>-1432/16 od 8.3.2016. i PŽ-7588/17 od 19.12.2017.</w:t>
      </w:r>
    </w:p>
  </w:footnote>
  <w:footnote w:id="101">
    <w:p w:rsidR="00951AD8" w:rsidRDefault="00951AD8">
      <w:pPr>
        <w:pStyle w:val="Tekstfusnote"/>
      </w:pPr>
      <w:r>
        <w:rPr>
          <w:rStyle w:val="Referencafusnote"/>
        </w:rPr>
        <w:footnoteRef/>
      </w:r>
      <w:r>
        <w:t xml:space="preserve"> članak 28. SZ-a</w:t>
      </w:r>
    </w:p>
  </w:footnote>
  <w:footnote w:id="102">
    <w:p w:rsidR="00951AD8" w:rsidRDefault="00951AD8">
      <w:pPr>
        <w:pStyle w:val="Tekstfusnote"/>
      </w:pPr>
      <w:r>
        <w:rPr>
          <w:rStyle w:val="Referencafusnote"/>
        </w:rPr>
        <w:footnoteRef/>
      </w:r>
      <w:r>
        <w:t xml:space="preserve"> članak 114. stavak 1. i 5. SZ-a</w:t>
      </w:r>
    </w:p>
  </w:footnote>
  <w:footnote w:id="103">
    <w:p w:rsidR="00951AD8" w:rsidRDefault="00951AD8">
      <w:pPr>
        <w:pStyle w:val="Tekstfusnote"/>
      </w:pPr>
      <w:r>
        <w:rPr>
          <w:rStyle w:val="Referencafusnote"/>
        </w:rPr>
        <w:footnoteRef/>
      </w:r>
      <w:r>
        <w:t xml:space="preserve"> članak 113. stavak 3. SZ-a</w:t>
      </w:r>
    </w:p>
  </w:footnote>
  <w:footnote w:id="104">
    <w:p w:rsidR="00951AD8" w:rsidRDefault="00951AD8" w:rsidP="001941F7">
      <w:pPr>
        <w:pStyle w:val="Tekstfusnote"/>
      </w:pPr>
      <w:r>
        <w:rPr>
          <w:rStyle w:val="Referencafusnote"/>
        </w:rPr>
        <w:footnoteRef/>
      </w:r>
      <w:r>
        <w:t xml:space="preserve"> članak 33. stavak 1. SZ-a</w:t>
      </w:r>
    </w:p>
  </w:footnote>
  <w:footnote w:id="105">
    <w:p w:rsidR="00951AD8" w:rsidRDefault="00951AD8">
      <w:pPr>
        <w:pStyle w:val="Tekstfusnote"/>
      </w:pPr>
      <w:r>
        <w:rPr>
          <w:rStyle w:val="Referencafusnote"/>
        </w:rPr>
        <w:footnoteRef/>
      </w:r>
      <w:r>
        <w:t xml:space="preserve"> članak 34. SZ-a</w:t>
      </w:r>
    </w:p>
  </w:footnote>
  <w:footnote w:id="106">
    <w:p w:rsidR="00951AD8" w:rsidRDefault="00951AD8">
      <w:pPr>
        <w:pStyle w:val="Tekstfusnote"/>
      </w:pPr>
      <w:r>
        <w:rPr>
          <w:rStyle w:val="Referencafusnote"/>
        </w:rPr>
        <w:footnoteRef/>
      </w:r>
      <w:r>
        <w:t xml:space="preserve"> članak 14. SZ-a određuje podatke za identifikaciju</w:t>
      </w:r>
    </w:p>
  </w:footnote>
  <w:footnote w:id="107">
    <w:p w:rsidR="00951AD8" w:rsidRDefault="00951AD8">
      <w:pPr>
        <w:pStyle w:val="Tekstfusnote"/>
      </w:pPr>
      <w:r>
        <w:rPr>
          <w:rStyle w:val="Referencafusnote"/>
        </w:rPr>
        <w:footnoteRef/>
      </w:r>
      <w:r>
        <w:t xml:space="preserve"> članak 12. stavak 5. SZ-a</w:t>
      </w:r>
    </w:p>
  </w:footnote>
  <w:footnote w:id="108">
    <w:p w:rsidR="00951AD8" w:rsidRDefault="00951AD8">
      <w:pPr>
        <w:pStyle w:val="Tekstfusnote"/>
      </w:pPr>
      <w:r>
        <w:rPr>
          <w:rStyle w:val="Referencafusnote"/>
        </w:rPr>
        <w:footnoteRef/>
      </w:r>
      <w:r>
        <w:t xml:space="preserve"> članak 34. stavak 2. SZ</w:t>
      </w:r>
    </w:p>
  </w:footnote>
  <w:footnote w:id="109">
    <w:p w:rsidR="00951AD8" w:rsidRPr="002D43FE" w:rsidRDefault="00951AD8">
      <w:pPr>
        <w:pStyle w:val="Tekstfusnote"/>
        <w:rPr>
          <w:rFonts w:ascii="Calibri" w:hAnsi="Calibri" w:cs="Calibri"/>
        </w:rPr>
      </w:pPr>
      <w:r>
        <w:rPr>
          <w:rStyle w:val="Referencafusnote"/>
        </w:rPr>
        <w:footnoteRef/>
      </w:r>
      <w:r>
        <w:t xml:space="preserve"> članak 331. stavak 3. Zakon o parničnom postupku (Narodne novine broj</w:t>
      </w:r>
      <w:r w:rsidRPr="002D43FE">
        <w:rPr>
          <w:rFonts w:ascii="Calibri" w:hAnsi="Calibri" w:cs="Calibri"/>
        </w:rPr>
        <w:t>: 53/91, 91/92, 58/93, 112/99, 88/01, 117/03, 88/05, 02/07, 84/08, 123/08, 57/11, 148/11, 25/13 i 89/14)</w:t>
      </w:r>
    </w:p>
  </w:footnote>
  <w:footnote w:id="110">
    <w:p w:rsidR="00951AD8" w:rsidRDefault="00951AD8">
      <w:pPr>
        <w:pStyle w:val="Tekstfusnote"/>
      </w:pPr>
      <w:r>
        <w:rPr>
          <w:rStyle w:val="Referencafusnote"/>
        </w:rPr>
        <w:footnoteRef/>
      </w:r>
      <w:r>
        <w:t xml:space="preserve"> članak 42. stavak 3. SZ-a</w:t>
      </w:r>
    </w:p>
  </w:footnote>
  <w:footnote w:id="111">
    <w:p w:rsidR="00951AD8" w:rsidRDefault="00951AD8" w:rsidP="003F7F5B">
      <w:pPr>
        <w:pStyle w:val="Tekstfusnote"/>
      </w:pPr>
      <w:r>
        <w:rPr>
          <w:rStyle w:val="Referencafusnote"/>
        </w:rPr>
        <w:footnoteRef/>
      </w:r>
      <w:r>
        <w:t xml:space="preserve"> članak 33. stavak 2. SZ-a</w:t>
      </w:r>
    </w:p>
  </w:footnote>
  <w:footnote w:id="112">
    <w:p w:rsidR="00951AD8" w:rsidRDefault="00951AD8">
      <w:pPr>
        <w:pStyle w:val="Tekstfusnote"/>
      </w:pPr>
      <w:r>
        <w:rPr>
          <w:rStyle w:val="Referencafusnote"/>
        </w:rPr>
        <w:footnoteRef/>
      </w:r>
      <w:r>
        <w:t xml:space="preserve"> članak 23. stavak 1. SZ-a</w:t>
      </w:r>
    </w:p>
  </w:footnote>
  <w:footnote w:id="113">
    <w:p w:rsidR="00951AD8" w:rsidRDefault="00951AD8">
      <w:pPr>
        <w:pStyle w:val="Tekstfusnote"/>
      </w:pPr>
      <w:r>
        <w:rPr>
          <w:rStyle w:val="Referencafusnote"/>
        </w:rPr>
        <w:footnoteRef/>
      </w:r>
      <w:r>
        <w:t xml:space="preserve"> članak 24. SZ-a</w:t>
      </w:r>
    </w:p>
  </w:footnote>
  <w:footnote w:id="114">
    <w:p w:rsidR="00951AD8" w:rsidRDefault="00951AD8">
      <w:pPr>
        <w:pStyle w:val="Tekstfusnote"/>
      </w:pPr>
      <w:r>
        <w:rPr>
          <w:rStyle w:val="Referencafusnote"/>
        </w:rPr>
        <w:footnoteRef/>
      </w:r>
      <w:r>
        <w:t xml:space="preserve"> članak 23. stavak 2. SZ-a</w:t>
      </w:r>
    </w:p>
  </w:footnote>
  <w:footnote w:id="115">
    <w:p w:rsidR="00951AD8" w:rsidRDefault="00951AD8" w:rsidP="00FA73CA">
      <w:pPr>
        <w:pStyle w:val="Tekstfusnote"/>
        <w:tabs>
          <w:tab w:val="left" w:pos="2552"/>
        </w:tabs>
        <w:jc w:val="both"/>
      </w:pPr>
      <w:r>
        <w:rPr>
          <w:rStyle w:val="Referencafusnote"/>
        </w:rPr>
        <w:footnoteRef/>
      </w:r>
      <w:r>
        <w:t xml:space="preserve"> Vidi rješenje VTSRH poslovni broj: </w:t>
      </w:r>
      <w:proofErr w:type="spellStart"/>
      <w:r>
        <w:t>Pž</w:t>
      </w:r>
      <w:proofErr w:type="spellEnd"/>
      <w:r>
        <w:t>-7365/17 od 13. prosinca 2017. u kojemu je navedeno:“U konkretnom slučaju radi se o</w:t>
      </w:r>
    </w:p>
    <w:p w:rsidR="00951AD8" w:rsidRDefault="00951AD8" w:rsidP="00FA73CA">
      <w:pPr>
        <w:pStyle w:val="Tekstfusnote"/>
        <w:tabs>
          <w:tab w:val="left" w:pos="2552"/>
        </w:tabs>
        <w:jc w:val="both"/>
        <w:rPr>
          <w:i/>
        </w:rPr>
      </w:pPr>
      <w:r>
        <w:t xml:space="preserve">      postupku </w:t>
      </w:r>
      <w:proofErr w:type="spellStart"/>
      <w:r>
        <w:t>predstečajne</w:t>
      </w:r>
      <w:proofErr w:type="spellEnd"/>
      <w:r>
        <w:t xml:space="preserve"> nagodbe u kojem postupku skupština vjerovnika, kao tijelo stečajnog postupka </w:t>
      </w:r>
      <w:r w:rsidRPr="00B03AE7">
        <w:rPr>
          <w:i/>
        </w:rPr>
        <w:t>(</w:t>
      </w:r>
      <w:proofErr w:type="spellStart"/>
      <w:r w:rsidRPr="00B03AE7">
        <w:rPr>
          <w:i/>
        </w:rPr>
        <w:t>op.autora</w:t>
      </w:r>
      <w:proofErr w:type="spellEnd"/>
      <w:r w:rsidRPr="00B03AE7">
        <w:rPr>
          <w:i/>
        </w:rPr>
        <w:t>: ispravno-</w:t>
      </w:r>
    </w:p>
    <w:p w:rsidR="00951AD8" w:rsidRDefault="00951AD8" w:rsidP="00FA73CA">
      <w:pPr>
        <w:pStyle w:val="Tekstfusnote"/>
        <w:tabs>
          <w:tab w:val="left" w:pos="2552"/>
        </w:tabs>
        <w:jc w:val="both"/>
      </w:pPr>
      <w:r>
        <w:rPr>
          <w:i/>
        </w:rPr>
        <w:t xml:space="preserve">      </w:t>
      </w:r>
      <w:proofErr w:type="spellStart"/>
      <w:r w:rsidRPr="00B03AE7">
        <w:rPr>
          <w:i/>
        </w:rPr>
        <w:t>prestečajnog</w:t>
      </w:r>
      <w:proofErr w:type="spellEnd"/>
      <w:r w:rsidRPr="00B03AE7">
        <w:rPr>
          <w:i/>
        </w:rPr>
        <w:t xml:space="preserve"> postupka) </w:t>
      </w:r>
      <w:r>
        <w:t>ne egzistira. Slijedom navedenoga, prvostupanjski sud nije mogao donijeti odluku kojom potvrđuje</w:t>
      </w:r>
    </w:p>
    <w:p w:rsidR="00951AD8" w:rsidRDefault="00951AD8" w:rsidP="00FA73CA">
      <w:pPr>
        <w:pStyle w:val="Tekstfusnote"/>
        <w:tabs>
          <w:tab w:val="left" w:pos="2552"/>
        </w:tabs>
        <w:jc w:val="both"/>
      </w:pPr>
      <w:r>
        <w:t xml:space="preserve">      imenovanje povjerenika </w:t>
      </w:r>
      <w:proofErr w:type="spellStart"/>
      <w:r>
        <w:t>predstečajne</w:t>
      </w:r>
      <w:proofErr w:type="spellEnd"/>
      <w:r>
        <w:t xml:space="preserve"> nagodbe kao odluku Skupštine vjerovnika u postupku </w:t>
      </w:r>
      <w:proofErr w:type="spellStart"/>
      <w:r>
        <w:t>predstečajne</w:t>
      </w:r>
      <w:proofErr w:type="spellEnd"/>
      <w:r>
        <w:t xml:space="preserve"> nagodbe.“</w:t>
      </w:r>
    </w:p>
  </w:footnote>
  <w:footnote w:id="116">
    <w:p w:rsidR="00951AD8" w:rsidRDefault="00951AD8">
      <w:pPr>
        <w:pStyle w:val="Tekstfusnote"/>
      </w:pPr>
      <w:r>
        <w:rPr>
          <w:rStyle w:val="Referencafusnote"/>
        </w:rPr>
        <w:footnoteRef/>
      </w:r>
      <w:r>
        <w:t xml:space="preserve"> članak 104. stavak 1. SZ-a</w:t>
      </w:r>
    </w:p>
  </w:footnote>
  <w:footnote w:id="117">
    <w:p w:rsidR="00951AD8" w:rsidRDefault="00951AD8">
      <w:pPr>
        <w:pStyle w:val="Tekstfusnote"/>
      </w:pPr>
      <w:r>
        <w:rPr>
          <w:rStyle w:val="Referencafusnote"/>
        </w:rPr>
        <w:footnoteRef/>
      </w:r>
      <w:r>
        <w:t xml:space="preserve"> članak 23. stavak 3. SZ-a</w:t>
      </w:r>
    </w:p>
  </w:footnote>
  <w:footnote w:id="118">
    <w:p w:rsidR="00951AD8" w:rsidRDefault="00951AD8">
      <w:pPr>
        <w:pStyle w:val="Tekstfusnote"/>
      </w:pPr>
      <w:r>
        <w:rPr>
          <w:rStyle w:val="Referencafusnote"/>
        </w:rPr>
        <w:footnoteRef/>
      </w:r>
      <w:r>
        <w:t xml:space="preserve"> članak 90. stavak 2. u vezi s člankom 23. stavak 2. SZ-a</w:t>
      </w:r>
    </w:p>
  </w:footnote>
  <w:footnote w:id="119">
    <w:p w:rsidR="00951AD8" w:rsidRDefault="00951AD8">
      <w:pPr>
        <w:pStyle w:val="Tekstfusnote"/>
      </w:pPr>
      <w:r>
        <w:rPr>
          <w:rStyle w:val="Referencafusnote"/>
        </w:rPr>
        <w:footnoteRef/>
      </w:r>
      <w:r>
        <w:t xml:space="preserve"> </w:t>
      </w:r>
      <w:r w:rsidRPr="005938B9">
        <w:rPr>
          <w:color w:val="000000" w:themeColor="text1"/>
        </w:rPr>
        <w:t xml:space="preserve">Uredba o kriterijima i načinu obračuna i plaćanja nagrade stečajnim upraviteljima </w:t>
      </w:r>
      <w:r>
        <w:t>(Narodne novine broj 105/15 od 2.10.</w:t>
      </w:r>
    </w:p>
    <w:p w:rsidR="00951AD8" w:rsidRDefault="00951AD8">
      <w:pPr>
        <w:pStyle w:val="Tekstfusnote"/>
      </w:pPr>
      <w:r>
        <w:t xml:space="preserve">      2015.)</w:t>
      </w:r>
    </w:p>
  </w:footnote>
  <w:footnote w:id="120">
    <w:p w:rsidR="00951AD8" w:rsidRDefault="00951AD8">
      <w:pPr>
        <w:pStyle w:val="Tekstfusnote"/>
      </w:pPr>
      <w:r>
        <w:rPr>
          <w:rStyle w:val="Referencafusnote"/>
        </w:rPr>
        <w:footnoteRef/>
      </w:r>
      <w:r>
        <w:t xml:space="preserve"> članak 35. SZ-a</w:t>
      </w:r>
    </w:p>
  </w:footnote>
  <w:footnote w:id="121">
    <w:p w:rsidR="00951AD8" w:rsidRDefault="00951AD8">
      <w:pPr>
        <w:pStyle w:val="Tekstfusnote"/>
      </w:pPr>
      <w:r>
        <w:rPr>
          <w:rStyle w:val="Referencafusnote"/>
        </w:rPr>
        <w:footnoteRef/>
      </w:r>
      <w:r>
        <w:t xml:space="preserve"> članak 36. stavak 2. SZ-a</w:t>
      </w:r>
    </w:p>
  </w:footnote>
  <w:footnote w:id="122">
    <w:p w:rsidR="00951AD8" w:rsidRDefault="00951AD8">
      <w:pPr>
        <w:pStyle w:val="Tekstfusnote"/>
      </w:pPr>
      <w:r>
        <w:rPr>
          <w:rStyle w:val="Referencafusnote"/>
        </w:rPr>
        <w:footnoteRef/>
      </w:r>
      <w:r>
        <w:t xml:space="preserve"> članak 36. stavak 4. SZ-a</w:t>
      </w:r>
    </w:p>
  </w:footnote>
  <w:footnote w:id="123">
    <w:p w:rsidR="00951AD8" w:rsidRDefault="00951AD8">
      <w:pPr>
        <w:pStyle w:val="Tekstfusnote"/>
      </w:pPr>
      <w:r>
        <w:rPr>
          <w:rStyle w:val="Referencafusnote"/>
        </w:rPr>
        <w:footnoteRef/>
      </w:r>
      <w:r>
        <w:t xml:space="preserve"> članak 36. stavak 3. SZ-a</w:t>
      </w:r>
    </w:p>
  </w:footnote>
  <w:footnote w:id="124">
    <w:p w:rsidR="00951AD8" w:rsidRDefault="00951AD8">
      <w:pPr>
        <w:pStyle w:val="Tekstfusnote"/>
      </w:pPr>
      <w:r>
        <w:rPr>
          <w:rStyle w:val="Referencafusnote"/>
        </w:rPr>
        <w:footnoteRef/>
      </w:r>
      <w:r>
        <w:t xml:space="preserve"> članak 36. st. 6. SZ-a; vidi odluku VTS RH poslovni broj: </w:t>
      </w:r>
      <w:proofErr w:type="spellStart"/>
      <w:r>
        <w:t>Pž</w:t>
      </w:r>
      <w:proofErr w:type="spellEnd"/>
      <w:r>
        <w:t>-7806/16 od 23.11.2016.</w:t>
      </w:r>
    </w:p>
  </w:footnote>
  <w:footnote w:id="125">
    <w:p w:rsidR="00951AD8" w:rsidRDefault="00951AD8">
      <w:pPr>
        <w:pStyle w:val="Tekstfusnote"/>
      </w:pPr>
      <w:r>
        <w:rPr>
          <w:rStyle w:val="Referencafusnote"/>
        </w:rPr>
        <w:footnoteRef/>
      </w:r>
      <w:r>
        <w:t xml:space="preserve"> članak 47. SZ-a</w:t>
      </w:r>
    </w:p>
  </w:footnote>
  <w:footnote w:id="126">
    <w:p w:rsidR="00951AD8" w:rsidRDefault="00951AD8">
      <w:pPr>
        <w:pStyle w:val="Tekstfusnote"/>
      </w:pPr>
      <w:r>
        <w:rPr>
          <w:rStyle w:val="Referencafusnote"/>
        </w:rPr>
        <w:footnoteRef/>
      </w:r>
      <w:r>
        <w:t xml:space="preserve"> vidi odluku VTS RH poslovni broj: </w:t>
      </w:r>
      <w:proofErr w:type="spellStart"/>
      <w:r>
        <w:t>Pž</w:t>
      </w:r>
      <w:proofErr w:type="spellEnd"/>
      <w:r>
        <w:t>-725/17 od 14.2.2017.</w:t>
      </w:r>
    </w:p>
  </w:footnote>
  <w:footnote w:id="127">
    <w:p w:rsidR="00951AD8" w:rsidRDefault="00951AD8">
      <w:pPr>
        <w:pStyle w:val="Tekstfusnote"/>
      </w:pPr>
      <w:r>
        <w:rPr>
          <w:rStyle w:val="Referencafusnote"/>
        </w:rPr>
        <w:footnoteRef/>
      </w:r>
      <w:r>
        <w:t xml:space="preserve"> članak 36. stavak 5. SZ-a</w:t>
      </w:r>
    </w:p>
  </w:footnote>
  <w:footnote w:id="128">
    <w:p w:rsidR="00951AD8" w:rsidRDefault="00951AD8">
      <w:pPr>
        <w:pStyle w:val="Tekstfusnote"/>
      </w:pPr>
      <w:r>
        <w:rPr>
          <w:rStyle w:val="Referencafusnote"/>
        </w:rPr>
        <w:footnoteRef/>
      </w:r>
      <w:r>
        <w:t xml:space="preserve"> članak 146. stavak 1. SZ-a</w:t>
      </w:r>
    </w:p>
  </w:footnote>
  <w:footnote w:id="129">
    <w:p w:rsidR="00951AD8" w:rsidRDefault="00951AD8">
      <w:pPr>
        <w:pStyle w:val="Tekstfusnote"/>
      </w:pPr>
      <w:r>
        <w:rPr>
          <w:rStyle w:val="Referencafusnote"/>
        </w:rPr>
        <w:footnoteRef/>
      </w:r>
      <w:r>
        <w:t xml:space="preserve"> članak 146. stavak 2. SZ-a</w:t>
      </w:r>
    </w:p>
  </w:footnote>
  <w:footnote w:id="130">
    <w:p w:rsidR="00951AD8" w:rsidRDefault="00951AD8">
      <w:pPr>
        <w:pStyle w:val="Tekstfusnote"/>
      </w:pPr>
      <w:r>
        <w:rPr>
          <w:rStyle w:val="Referencafusnote"/>
        </w:rPr>
        <w:footnoteRef/>
      </w:r>
      <w:r>
        <w:t xml:space="preserve"> članak 146. stavak 3. SZ-a</w:t>
      </w:r>
    </w:p>
  </w:footnote>
  <w:footnote w:id="131">
    <w:p w:rsidR="00951AD8" w:rsidRDefault="00951AD8">
      <w:pPr>
        <w:pStyle w:val="Tekstfusnote"/>
      </w:pPr>
      <w:r>
        <w:rPr>
          <w:rStyle w:val="Referencafusnote"/>
        </w:rPr>
        <w:footnoteRef/>
      </w:r>
      <w:r>
        <w:t xml:space="preserve"> članak 37. stavak 1. SZ-a</w:t>
      </w:r>
    </w:p>
  </w:footnote>
  <w:footnote w:id="132">
    <w:p w:rsidR="00951AD8" w:rsidRDefault="00951AD8">
      <w:pPr>
        <w:pStyle w:val="Tekstfusnote"/>
      </w:pPr>
      <w:r>
        <w:rPr>
          <w:rStyle w:val="Referencafusnote"/>
        </w:rPr>
        <w:footnoteRef/>
      </w:r>
      <w:r>
        <w:t xml:space="preserve"> članak 37. stavak 8. SZ-a</w:t>
      </w:r>
    </w:p>
  </w:footnote>
  <w:footnote w:id="133">
    <w:p w:rsidR="00951AD8" w:rsidRDefault="00951AD8">
      <w:pPr>
        <w:pStyle w:val="Tekstfusnote"/>
      </w:pPr>
      <w:r>
        <w:rPr>
          <w:rStyle w:val="Referencafusnote"/>
        </w:rPr>
        <w:footnoteRef/>
      </w:r>
      <w:r>
        <w:t xml:space="preserve"> članak 37. stavak 2. SZ-a</w:t>
      </w:r>
    </w:p>
  </w:footnote>
  <w:footnote w:id="134">
    <w:p w:rsidR="00951AD8" w:rsidRDefault="00951AD8">
      <w:pPr>
        <w:pStyle w:val="Tekstfusnote"/>
      </w:pPr>
      <w:r>
        <w:rPr>
          <w:rStyle w:val="Referencafusnote"/>
        </w:rPr>
        <w:footnoteRef/>
      </w:r>
      <w:r>
        <w:t xml:space="preserve"> članak 37. stavak 4. SZ-a</w:t>
      </w:r>
    </w:p>
  </w:footnote>
  <w:footnote w:id="135">
    <w:p w:rsidR="00951AD8" w:rsidRDefault="00951AD8">
      <w:pPr>
        <w:pStyle w:val="Tekstfusnote"/>
      </w:pPr>
      <w:r>
        <w:rPr>
          <w:rStyle w:val="Referencafusnote"/>
        </w:rPr>
        <w:footnoteRef/>
      </w:r>
      <w:r>
        <w:t xml:space="preserve"> članak 37. stavak 3. SZ-a</w:t>
      </w:r>
    </w:p>
  </w:footnote>
  <w:footnote w:id="136">
    <w:p w:rsidR="00951AD8" w:rsidRDefault="00951AD8">
      <w:pPr>
        <w:pStyle w:val="Tekstfusnote"/>
      </w:pPr>
      <w:r>
        <w:rPr>
          <w:rStyle w:val="Referencafusnote"/>
        </w:rPr>
        <w:footnoteRef/>
      </w:r>
      <w:r>
        <w:t xml:space="preserve"> članak 37. stavak 5. SZ-a</w:t>
      </w:r>
    </w:p>
  </w:footnote>
  <w:footnote w:id="137">
    <w:p w:rsidR="00951AD8" w:rsidRDefault="00951AD8">
      <w:pPr>
        <w:pStyle w:val="Tekstfusnote"/>
      </w:pPr>
      <w:r>
        <w:rPr>
          <w:rStyle w:val="Referencafusnote"/>
        </w:rPr>
        <w:footnoteRef/>
      </w:r>
      <w:r>
        <w:t xml:space="preserve"> vidi odluku VTS RH poslovni broj: </w:t>
      </w:r>
      <w:proofErr w:type="spellStart"/>
      <w:r>
        <w:t>Pž</w:t>
      </w:r>
      <w:proofErr w:type="spellEnd"/>
      <w:r>
        <w:t>-6449/16 od 27.9.2016.</w:t>
      </w:r>
    </w:p>
  </w:footnote>
  <w:footnote w:id="138">
    <w:p w:rsidR="00951AD8" w:rsidRDefault="00951AD8">
      <w:pPr>
        <w:pStyle w:val="Tekstfusnote"/>
      </w:pPr>
      <w:r>
        <w:rPr>
          <w:rStyle w:val="Referencafusnote"/>
        </w:rPr>
        <w:footnoteRef/>
      </w:r>
      <w:r>
        <w:t xml:space="preserve"> Zakon o obveznim odnosima (Narodne novine broj 35/05., 41/08., 125/11. i 78/15.– u nastavku ZOO)</w:t>
      </w:r>
    </w:p>
  </w:footnote>
  <w:footnote w:id="139">
    <w:p w:rsidR="00951AD8" w:rsidRDefault="00951AD8" w:rsidP="00265E72">
      <w:pPr>
        <w:pStyle w:val="Tekstfusnote"/>
      </w:pPr>
      <w:r>
        <w:rPr>
          <w:rStyle w:val="FootnoteCharacters"/>
          <w:rFonts w:ascii="Arial" w:hAnsi="Arial"/>
        </w:rPr>
        <w:footnoteRef/>
      </w:r>
      <w:r>
        <w:t xml:space="preserve"> Zakon o obveznim odnosima (Narodne novine broj 35/05., 41/08., 125/11. i 78/15.– u nastavku ZOO)</w:t>
      </w:r>
    </w:p>
  </w:footnote>
  <w:footnote w:id="140">
    <w:p w:rsidR="00951AD8" w:rsidRDefault="00951AD8" w:rsidP="00265E72">
      <w:pPr>
        <w:pStyle w:val="Tekstfusnote"/>
      </w:pPr>
      <w:r>
        <w:rPr>
          <w:rStyle w:val="FootnoteCharacters"/>
          <w:rFonts w:ascii="Arial" w:hAnsi="Arial"/>
        </w:rPr>
        <w:footnoteRef/>
      </w:r>
      <w:r>
        <w:t xml:space="preserve"> ZOO, članak 423. do 429.</w:t>
      </w:r>
    </w:p>
  </w:footnote>
  <w:footnote w:id="141">
    <w:p w:rsidR="00951AD8" w:rsidRPr="00750BDF" w:rsidRDefault="00951AD8" w:rsidP="00C57425">
      <w:pPr>
        <w:pStyle w:val="Tekstfusnote"/>
      </w:pPr>
      <w:r>
        <w:rPr>
          <w:rStyle w:val="Referencafusnote"/>
        </w:rPr>
        <w:footnoteRef/>
      </w:r>
      <w:r w:rsidRPr="0054516A">
        <w:t xml:space="preserve">  </w:t>
      </w:r>
      <w:r>
        <w:t>Narodne novine broj: 81/2013 od 29. lipnja 2013.</w:t>
      </w:r>
    </w:p>
  </w:footnote>
  <w:footnote w:id="142">
    <w:p w:rsidR="00951AD8" w:rsidRDefault="00951AD8" w:rsidP="00C57425">
      <w:pPr>
        <w:pStyle w:val="Tekstfusnote"/>
      </w:pPr>
      <w:r>
        <w:rPr>
          <w:rStyle w:val="FootnoteCharacters"/>
          <w:rFonts w:ascii="Arial" w:hAnsi="Arial"/>
        </w:rPr>
        <w:footnoteRef/>
      </w:r>
      <w:r>
        <w:t xml:space="preserve"> ZOO, članak 110.</w:t>
      </w:r>
    </w:p>
  </w:footnote>
  <w:footnote w:id="143">
    <w:p w:rsidR="00951AD8" w:rsidRPr="0069288B" w:rsidRDefault="00951AD8" w:rsidP="00C57425">
      <w:pPr>
        <w:pStyle w:val="Tekstfusnote"/>
      </w:pPr>
      <w:r>
        <w:rPr>
          <w:rStyle w:val="Referencafusnote"/>
        </w:rPr>
        <w:footnoteRef/>
      </w:r>
      <w:r>
        <w:t xml:space="preserve"> SZ, članak 62. st. 1.</w:t>
      </w:r>
    </w:p>
  </w:footnote>
  <w:footnote w:id="144">
    <w:p w:rsidR="00951AD8" w:rsidRPr="007F56AC" w:rsidRDefault="00951AD8" w:rsidP="00C57425">
      <w:pPr>
        <w:pStyle w:val="Tekstfusnote"/>
      </w:pPr>
      <w:r>
        <w:rPr>
          <w:rStyle w:val="Referencafusnote"/>
        </w:rPr>
        <w:footnoteRef/>
      </w:r>
      <w:r w:rsidRPr="0054516A">
        <w:t xml:space="preserve"> Tako i u rješenju VTSRH poslovni broj: </w:t>
      </w:r>
      <w:proofErr w:type="spellStart"/>
      <w:r w:rsidRPr="0054516A">
        <w:t>Pž</w:t>
      </w:r>
      <w:proofErr w:type="spellEnd"/>
      <w:r w:rsidRPr="0054516A">
        <w:t>-7956/16</w:t>
      </w:r>
    </w:p>
  </w:footnote>
  <w:footnote w:id="145">
    <w:p w:rsidR="00951AD8" w:rsidRPr="00927D77" w:rsidRDefault="00951AD8" w:rsidP="00C57425">
      <w:pPr>
        <w:pStyle w:val="Tekstfusnote"/>
      </w:pPr>
      <w:r>
        <w:rPr>
          <w:rStyle w:val="Referencafusnote"/>
        </w:rPr>
        <w:footnoteRef/>
      </w:r>
      <w:r w:rsidRPr="0054516A">
        <w:t xml:space="preserve"> </w:t>
      </w:r>
      <w:r>
        <w:t>SZ, članak 39.</w:t>
      </w:r>
    </w:p>
  </w:footnote>
  <w:footnote w:id="146">
    <w:p w:rsidR="00951AD8" w:rsidRPr="00EE6671" w:rsidRDefault="00951AD8" w:rsidP="00C57425">
      <w:pPr>
        <w:pStyle w:val="Tekstfusnote"/>
      </w:pPr>
      <w:r>
        <w:rPr>
          <w:rStyle w:val="Referencafusnote"/>
        </w:rPr>
        <w:footnoteRef/>
      </w:r>
      <w:r w:rsidRPr="0054516A">
        <w:t xml:space="preserve"> </w:t>
      </w:r>
      <w:r>
        <w:t>SZ, članak 47.</w:t>
      </w:r>
    </w:p>
  </w:footnote>
  <w:footnote w:id="147">
    <w:p w:rsidR="00951AD8" w:rsidRPr="003926E0" w:rsidRDefault="00951AD8" w:rsidP="00C57425">
      <w:pPr>
        <w:pStyle w:val="Tekstfusnote"/>
      </w:pPr>
      <w:r>
        <w:rPr>
          <w:rStyle w:val="Referencafusnote"/>
        </w:rPr>
        <w:footnoteRef/>
      </w:r>
      <w:r w:rsidRPr="0054516A">
        <w:t xml:space="preserve"> </w:t>
      </w:r>
      <w:r>
        <w:t>ZOO, članak 110.</w:t>
      </w:r>
    </w:p>
  </w:footnote>
  <w:footnote w:id="148">
    <w:p w:rsidR="00951AD8" w:rsidRPr="00570ECF" w:rsidRDefault="00951AD8" w:rsidP="00C57425">
      <w:pPr>
        <w:pStyle w:val="Tekstfusnote"/>
      </w:pPr>
      <w:r>
        <w:rPr>
          <w:rStyle w:val="Referencafusnote"/>
        </w:rPr>
        <w:footnoteRef/>
      </w:r>
      <w:r w:rsidRPr="0054516A">
        <w:t xml:space="preserve"> </w:t>
      </w:r>
      <w:r>
        <w:t>SZ, članak 50. u vezi s člankom 266.</w:t>
      </w:r>
    </w:p>
  </w:footnote>
  <w:footnote w:id="149">
    <w:p w:rsidR="00951AD8" w:rsidRPr="00CF794B" w:rsidRDefault="00951AD8" w:rsidP="00C57425">
      <w:pPr>
        <w:pStyle w:val="Tekstfusnote"/>
      </w:pPr>
      <w:r>
        <w:rPr>
          <w:rStyle w:val="Referencafusnote"/>
        </w:rPr>
        <w:footnoteRef/>
      </w:r>
      <w:r w:rsidRPr="0054516A">
        <w:t xml:space="preserve"> Odluka VTSRH poslovni broj: </w:t>
      </w:r>
      <w:proofErr w:type="spellStart"/>
      <w:r w:rsidRPr="0054516A">
        <w:rPr>
          <w:szCs w:val="24"/>
        </w:rPr>
        <w:t>Pž</w:t>
      </w:r>
      <w:proofErr w:type="spellEnd"/>
      <w:r w:rsidRPr="0054516A">
        <w:rPr>
          <w:szCs w:val="24"/>
        </w:rPr>
        <w:t>-2927/2017 od 27. lipnja 2017.</w:t>
      </w:r>
    </w:p>
  </w:footnote>
  <w:footnote w:id="150">
    <w:p w:rsidR="00951AD8" w:rsidRPr="001C7B49" w:rsidRDefault="00951AD8">
      <w:pPr>
        <w:pStyle w:val="Tekstfusnote"/>
        <w:rPr>
          <w:i/>
        </w:rPr>
      </w:pPr>
      <w:r>
        <w:rPr>
          <w:rStyle w:val="Referencafusnote"/>
        </w:rPr>
        <w:footnoteRef/>
      </w:r>
      <w:r>
        <w:t xml:space="preserve"> Vidi rješenje VTS RH poslovni broj: </w:t>
      </w:r>
      <w:proofErr w:type="spellStart"/>
      <w:r>
        <w:t>Pž</w:t>
      </w:r>
      <w:proofErr w:type="spellEnd"/>
      <w:r>
        <w:t xml:space="preserve">-33/2018 od 25.1.2018. u kojemu je navedeno: </w:t>
      </w:r>
      <w:r w:rsidRPr="001C7B49">
        <w:rPr>
          <w:i/>
        </w:rPr>
        <w:t xml:space="preserve">“Međutim, navedenu tražbinu u iznosu </w:t>
      </w:r>
    </w:p>
    <w:p w:rsidR="00951AD8" w:rsidRPr="001C7B49" w:rsidRDefault="00951AD8">
      <w:pPr>
        <w:pStyle w:val="Tekstfusnote"/>
        <w:rPr>
          <w:i/>
        </w:rPr>
      </w:pPr>
      <w:r w:rsidRPr="001C7B49">
        <w:rPr>
          <w:i/>
        </w:rPr>
        <w:t xml:space="preserve">      od 22.156.770,25 kn, koju je sud uvrstio u utvrđene tražbine, prijavio je dužnik kao uvjetnu tražbinu za jamstva, </w:t>
      </w:r>
      <w:proofErr w:type="spellStart"/>
      <w:r w:rsidRPr="001C7B49">
        <w:rPr>
          <w:i/>
        </w:rPr>
        <w:t>sudužništva</w:t>
      </w:r>
      <w:proofErr w:type="spellEnd"/>
      <w:r w:rsidRPr="001C7B49">
        <w:rPr>
          <w:i/>
        </w:rPr>
        <w:t xml:space="preserve">, </w:t>
      </w:r>
    </w:p>
    <w:p w:rsidR="00951AD8" w:rsidRPr="001C7B49" w:rsidRDefault="00951AD8">
      <w:pPr>
        <w:pStyle w:val="Tekstfusnote"/>
        <w:rPr>
          <w:i/>
        </w:rPr>
      </w:pPr>
      <w:r w:rsidRPr="001C7B49">
        <w:rPr>
          <w:i/>
        </w:rPr>
        <w:t xml:space="preserve">      platežne i činidbene garancije i akreditive. Odredbom članka 35. SZ-a propisano je da su vjerovnici dužnika u </w:t>
      </w:r>
      <w:proofErr w:type="spellStart"/>
      <w:r w:rsidRPr="001C7B49">
        <w:rPr>
          <w:i/>
        </w:rPr>
        <w:t>pre</w:t>
      </w:r>
      <w:r>
        <w:rPr>
          <w:i/>
        </w:rPr>
        <w:t>d</w:t>
      </w:r>
      <w:r w:rsidRPr="001C7B49">
        <w:rPr>
          <w:i/>
        </w:rPr>
        <w:t>stečajnom</w:t>
      </w:r>
      <w:proofErr w:type="spellEnd"/>
      <w:r w:rsidRPr="001C7B49">
        <w:rPr>
          <w:i/>
        </w:rPr>
        <w:t xml:space="preserve"> </w:t>
      </w:r>
    </w:p>
    <w:p w:rsidR="00951AD8" w:rsidRPr="001C7B49" w:rsidRDefault="00951AD8">
      <w:pPr>
        <w:pStyle w:val="Tekstfusnote"/>
        <w:rPr>
          <w:i/>
        </w:rPr>
      </w:pPr>
      <w:r w:rsidRPr="001C7B49">
        <w:rPr>
          <w:i/>
        </w:rPr>
        <w:t xml:space="preserve">      postupku osobe koje u vrijeme otvaranja </w:t>
      </w:r>
      <w:proofErr w:type="spellStart"/>
      <w:r w:rsidRPr="001C7B49">
        <w:rPr>
          <w:i/>
        </w:rPr>
        <w:t>pre</w:t>
      </w:r>
      <w:r>
        <w:rPr>
          <w:i/>
        </w:rPr>
        <w:t>d</w:t>
      </w:r>
      <w:r w:rsidRPr="001C7B49">
        <w:rPr>
          <w:i/>
        </w:rPr>
        <w:t>stečajnog</w:t>
      </w:r>
      <w:proofErr w:type="spellEnd"/>
      <w:r w:rsidRPr="001C7B49">
        <w:rPr>
          <w:i/>
        </w:rPr>
        <w:t xml:space="preserve"> postupka imaju imovinskopravnu tražbinu prema dužniku. Dakle, </w:t>
      </w:r>
    </w:p>
    <w:p w:rsidR="00951AD8" w:rsidRDefault="00951AD8">
      <w:pPr>
        <w:pStyle w:val="Tekstfusnote"/>
        <w:rPr>
          <w:i/>
        </w:rPr>
      </w:pPr>
      <w:r w:rsidRPr="001C7B49">
        <w:rPr>
          <w:i/>
        </w:rPr>
        <w:t xml:space="preserve">      vjerovnik uvjetne tražbine ne može biti sudionik </w:t>
      </w:r>
      <w:proofErr w:type="spellStart"/>
      <w:r w:rsidRPr="001C7B49">
        <w:rPr>
          <w:i/>
        </w:rPr>
        <w:t>pre</w:t>
      </w:r>
      <w:r>
        <w:rPr>
          <w:i/>
        </w:rPr>
        <w:t>d</w:t>
      </w:r>
      <w:r w:rsidRPr="001C7B49">
        <w:rPr>
          <w:i/>
        </w:rPr>
        <w:t>stečajne</w:t>
      </w:r>
      <w:proofErr w:type="spellEnd"/>
      <w:r w:rsidRPr="001C7B49">
        <w:rPr>
          <w:i/>
        </w:rPr>
        <w:t xml:space="preserve"> nagodbe.</w:t>
      </w:r>
      <w:r>
        <w:rPr>
          <w:i/>
        </w:rPr>
        <w:t xml:space="preserve"> Kako je u pobijanom dijelu rješenja navedeno da se u</w:t>
      </w:r>
    </w:p>
    <w:p w:rsidR="00951AD8" w:rsidRDefault="00951AD8">
      <w:pPr>
        <w:pStyle w:val="Tekstfusnote"/>
        <w:rPr>
          <w:i/>
        </w:rPr>
      </w:pPr>
      <w:r>
        <w:rPr>
          <w:i/>
        </w:rPr>
        <w:t xml:space="preserve">     konkretnom radi o uvjetnim tražbinama jasno je da u trenutku otvaranja </w:t>
      </w:r>
      <w:proofErr w:type="spellStart"/>
      <w:r>
        <w:rPr>
          <w:i/>
        </w:rPr>
        <w:t>predstečajnog</w:t>
      </w:r>
      <w:proofErr w:type="spellEnd"/>
      <w:r>
        <w:rPr>
          <w:i/>
        </w:rPr>
        <w:t xml:space="preserve"> postupka ta tražbina nije niti nastala</w:t>
      </w:r>
    </w:p>
    <w:p w:rsidR="00951AD8" w:rsidRDefault="00951AD8">
      <w:pPr>
        <w:pStyle w:val="Tekstfusnote"/>
        <w:rPr>
          <w:i/>
        </w:rPr>
      </w:pPr>
      <w:r>
        <w:rPr>
          <w:i/>
        </w:rPr>
        <w:t xml:space="preserve">     pa je zbog protivnosti izričitoj odredbi članka 35. SZ-a, iz tih razloga valjalo uvažiti dužnikovu žalbu i ukinuti predmetno</w:t>
      </w:r>
    </w:p>
    <w:p w:rsidR="00951AD8" w:rsidRPr="001C7B49" w:rsidRDefault="00951AD8">
      <w:pPr>
        <w:pStyle w:val="Tekstfusnote"/>
        <w:rPr>
          <w:i/>
        </w:rPr>
      </w:pPr>
      <w:r>
        <w:rPr>
          <w:i/>
        </w:rPr>
        <w:t xml:space="preserve">     rješenje u pobijanom dijelu</w:t>
      </w:r>
      <w:r w:rsidRPr="001C7B49">
        <w:rPr>
          <w:i/>
        </w:rPr>
        <w:t>“</w:t>
      </w:r>
    </w:p>
  </w:footnote>
  <w:footnote w:id="151">
    <w:p w:rsidR="00951AD8" w:rsidRDefault="00951AD8">
      <w:pPr>
        <w:pStyle w:val="Tekstfusnote"/>
      </w:pPr>
      <w:r>
        <w:rPr>
          <w:rStyle w:val="Referencafusnote"/>
        </w:rPr>
        <w:footnoteRef/>
      </w:r>
      <w:r>
        <w:t xml:space="preserve"> Zakon o parničnom postupku</w:t>
      </w:r>
    </w:p>
  </w:footnote>
  <w:footnote w:id="152">
    <w:p w:rsidR="00951AD8" w:rsidRDefault="00951AD8">
      <w:pPr>
        <w:pStyle w:val="Tekstfusnote"/>
      </w:pPr>
      <w:r>
        <w:rPr>
          <w:rStyle w:val="Referencafusnote"/>
        </w:rPr>
        <w:footnoteRef/>
      </w:r>
      <w:r>
        <w:t xml:space="preserve"> </w:t>
      </w:r>
      <w:proofErr w:type="spellStart"/>
      <w:r>
        <w:t>Viidi</w:t>
      </w:r>
      <w:proofErr w:type="spellEnd"/>
      <w:r>
        <w:t xml:space="preserve"> odluku VTS RH poslovni broj: </w:t>
      </w:r>
      <w:proofErr w:type="spellStart"/>
      <w:r>
        <w:t>Pž</w:t>
      </w:r>
      <w:proofErr w:type="spellEnd"/>
      <w:r>
        <w:t>-1975/17 od 7.4.2017.</w:t>
      </w:r>
    </w:p>
  </w:footnote>
  <w:footnote w:id="153">
    <w:p w:rsidR="00951AD8" w:rsidRDefault="00951AD8">
      <w:pPr>
        <w:pStyle w:val="Tekstfusnote"/>
      </w:pPr>
      <w:r>
        <w:rPr>
          <w:rStyle w:val="Referencafusnote"/>
        </w:rPr>
        <w:footnoteRef/>
      </w:r>
      <w:r>
        <w:t xml:space="preserve"> Vidi odredbu članka 62. stavak 4. u vezi s člankom 340. stavak 2. SZ-a</w:t>
      </w:r>
    </w:p>
  </w:footnote>
  <w:footnote w:id="154">
    <w:p w:rsidR="00951AD8" w:rsidRPr="00D8600B" w:rsidRDefault="00951AD8" w:rsidP="002E4857">
      <w:pPr>
        <w:pStyle w:val="Tekstfusnote"/>
      </w:pPr>
      <w:r>
        <w:rPr>
          <w:rStyle w:val="Referencafusnote"/>
        </w:rPr>
        <w:footnoteRef/>
      </w:r>
      <w:r>
        <w:t xml:space="preserve"> SZ, članak 149. Stavak 1.</w:t>
      </w:r>
    </w:p>
  </w:footnote>
  <w:footnote w:id="155">
    <w:p w:rsidR="00951AD8" w:rsidRDefault="00951AD8" w:rsidP="002E4857">
      <w:pPr>
        <w:pStyle w:val="Tekstfusnote"/>
      </w:pPr>
      <w:r>
        <w:rPr>
          <w:rStyle w:val="Referencafusnote"/>
        </w:rPr>
        <w:footnoteRef/>
      </w:r>
      <w:r>
        <w:t xml:space="preserve"> članak 46. st. 6. SZ-a</w:t>
      </w:r>
    </w:p>
  </w:footnote>
  <w:footnote w:id="156">
    <w:p w:rsidR="00951AD8" w:rsidRDefault="00951AD8" w:rsidP="002E4857">
      <w:pPr>
        <w:pStyle w:val="Tekstfusnote"/>
      </w:pPr>
      <w:r>
        <w:rPr>
          <w:rStyle w:val="Referencafusnote"/>
        </w:rPr>
        <w:footnoteRef/>
      </w:r>
      <w:r>
        <w:t xml:space="preserve"> članak 66. </w:t>
      </w:r>
      <w:proofErr w:type="spellStart"/>
      <w:r>
        <w:t>toč</w:t>
      </w:r>
      <w:proofErr w:type="spellEnd"/>
      <w:r>
        <w:t>. 1. SZ-a</w:t>
      </w:r>
    </w:p>
  </w:footnote>
  <w:footnote w:id="157">
    <w:p w:rsidR="00951AD8" w:rsidRDefault="00951AD8">
      <w:pPr>
        <w:pStyle w:val="Tekstfusnote"/>
      </w:pPr>
      <w:r>
        <w:rPr>
          <w:rStyle w:val="Referencafusnote"/>
        </w:rPr>
        <w:footnoteRef/>
      </w:r>
      <w:r>
        <w:t xml:space="preserve"> članak 38. stavak 6. SZ-a</w:t>
      </w:r>
    </w:p>
  </w:footnote>
  <w:footnote w:id="158">
    <w:p w:rsidR="00951AD8" w:rsidRDefault="00951AD8" w:rsidP="002E4857">
      <w:pPr>
        <w:pStyle w:val="Tekstfusnote"/>
      </w:pPr>
      <w:r>
        <w:rPr>
          <w:rStyle w:val="Referencafusnote"/>
        </w:rPr>
        <w:footnoteRef/>
      </w:r>
      <w:r>
        <w:t xml:space="preserve"> članak 38. st. 1. SZ-a</w:t>
      </w:r>
    </w:p>
  </w:footnote>
  <w:footnote w:id="159">
    <w:p w:rsidR="00951AD8" w:rsidRDefault="00951AD8" w:rsidP="002E4857">
      <w:pPr>
        <w:pStyle w:val="Tekstfusnote"/>
      </w:pPr>
      <w:r>
        <w:rPr>
          <w:rStyle w:val="Referencafusnote"/>
        </w:rPr>
        <w:footnoteRef/>
      </w:r>
      <w:r>
        <w:t xml:space="preserve"> SZ, članak 38. st. 3.</w:t>
      </w:r>
    </w:p>
  </w:footnote>
  <w:footnote w:id="160">
    <w:p w:rsidR="00951AD8" w:rsidRDefault="00951AD8" w:rsidP="002E4857">
      <w:pPr>
        <w:pStyle w:val="Tekstfusnote"/>
      </w:pPr>
      <w:r>
        <w:rPr>
          <w:rStyle w:val="Referencafusnote"/>
        </w:rPr>
        <w:footnoteRef/>
      </w:r>
      <w:r>
        <w:t xml:space="preserve"> ZPP, članak 358. st.3. u vezi s člankom 349. st. 1. </w:t>
      </w:r>
    </w:p>
  </w:footnote>
  <w:footnote w:id="161">
    <w:p w:rsidR="00951AD8" w:rsidRDefault="00951AD8" w:rsidP="002E4857">
      <w:pPr>
        <w:pStyle w:val="Tekstfusnote"/>
      </w:pPr>
      <w:r>
        <w:rPr>
          <w:rStyle w:val="Referencafusnote"/>
        </w:rPr>
        <w:footnoteRef/>
      </w:r>
      <w:r>
        <w:t xml:space="preserve"> Zakona o nasljeđivanju (Narodne novine broj: 48/03, 163/03, 35/05, 127/13 i 33/15), članak 130.- 137. </w:t>
      </w:r>
    </w:p>
  </w:footnote>
  <w:footnote w:id="162">
    <w:p w:rsidR="00951AD8" w:rsidRDefault="00951AD8" w:rsidP="002E4857">
      <w:pPr>
        <w:pStyle w:val="Tekstfusnote"/>
      </w:pPr>
      <w:r>
        <w:rPr>
          <w:rStyle w:val="Referencafusnote"/>
        </w:rPr>
        <w:footnoteRef/>
      </w:r>
      <w:r>
        <w:t xml:space="preserve"> ZFPPN, članak 59. st. 2. – vidi odluku VTS RH poslovni broj: </w:t>
      </w:r>
      <w:proofErr w:type="spellStart"/>
      <w:r>
        <w:t>Pž</w:t>
      </w:r>
      <w:proofErr w:type="spellEnd"/>
      <w:r>
        <w:t>-4685/15 od 5.10.2015.</w:t>
      </w:r>
    </w:p>
  </w:footnote>
  <w:footnote w:id="163">
    <w:p w:rsidR="00951AD8" w:rsidRDefault="00951AD8" w:rsidP="002E4857">
      <w:pPr>
        <w:pStyle w:val="Tekstfusnote"/>
      </w:pPr>
      <w:r>
        <w:rPr>
          <w:rStyle w:val="Referencafusnote"/>
        </w:rPr>
        <w:footnoteRef/>
      </w:r>
      <w:r>
        <w:t xml:space="preserve"> ZFPPN, članak 59. st. 3. </w:t>
      </w:r>
    </w:p>
  </w:footnote>
  <w:footnote w:id="164">
    <w:p w:rsidR="00951AD8" w:rsidRDefault="00951AD8" w:rsidP="002E4857">
      <w:pPr>
        <w:pStyle w:val="Tekstfusnote"/>
      </w:pPr>
      <w:r>
        <w:rPr>
          <w:rStyle w:val="Referencafusnote"/>
        </w:rPr>
        <w:footnoteRef/>
      </w:r>
      <w:r>
        <w:t xml:space="preserve"> ZFPPN, članak 59. st. 6.</w:t>
      </w:r>
    </w:p>
  </w:footnote>
  <w:footnote w:id="165">
    <w:p w:rsidR="00951AD8" w:rsidRPr="00D6502F" w:rsidRDefault="00951AD8" w:rsidP="002E4857">
      <w:pPr>
        <w:pStyle w:val="Tekstfusnote"/>
      </w:pPr>
      <w:r>
        <w:rPr>
          <w:rStyle w:val="Referencafusnote"/>
        </w:rPr>
        <w:footnoteRef/>
      </w:r>
      <w:r>
        <w:t xml:space="preserve"> SZ, članak 66. </w:t>
      </w:r>
      <w:proofErr w:type="spellStart"/>
      <w:r>
        <w:t>toč</w:t>
      </w:r>
      <w:proofErr w:type="spellEnd"/>
      <w:r>
        <w:t>. 1.</w:t>
      </w:r>
    </w:p>
  </w:footnote>
  <w:footnote w:id="166">
    <w:p w:rsidR="00951AD8" w:rsidRPr="00AF08F5" w:rsidRDefault="00951AD8" w:rsidP="002E4857">
      <w:pPr>
        <w:pStyle w:val="Tekstfusnote"/>
      </w:pPr>
      <w:r>
        <w:rPr>
          <w:rStyle w:val="Referencafusnote"/>
        </w:rPr>
        <w:footnoteRef/>
      </w:r>
      <w:r w:rsidRPr="00AF08F5">
        <w:t xml:space="preserve"> Zakon o vlasništvu i drugim stvarnim pravima (Narodne novine broj: 91/96, 68/98, 137/99, 22/00, 73/00, 129/00, 114/01, 79/06, 141/06, 146/08, 38/09, 153/09, 143/12 i 152/14 - ZV)</w:t>
      </w:r>
    </w:p>
  </w:footnote>
  <w:footnote w:id="167">
    <w:p w:rsidR="00951AD8" w:rsidRPr="00AF08F5" w:rsidRDefault="00951AD8" w:rsidP="002E4857">
      <w:pPr>
        <w:pStyle w:val="Tekstfusnote"/>
      </w:pPr>
      <w:r>
        <w:rPr>
          <w:rStyle w:val="Referencafusnote"/>
        </w:rPr>
        <w:footnoteRef/>
      </w:r>
      <w:r w:rsidRPr="00AF08F5">
        <w:t xml:space="preserve"> ZV, članak 344. st. 1. </w:t>
      </w:r>
    </w:p>
  </w:footnote>
  <w:footnote w:id="168">
    <w:p w:rsidR="00951AD8" w:rsidRDefault="00951AD8" w:rsidP="002E4857">
      <w:pPr>
        <w:pStyle w:val="Tekstfusnote"/>
      </w:pPr>
      <w:r>
        <w:rPr>
          <w:rStyle w:val="Referencafusnote"/>
        </w:rPr>
        <w:footnoteRef/>
      </w:r>
      <w:r>
        <w:t xml:space="preserve"> SZ, članak 38. st. 4. </w:t>
      </w:r>
    </w:p>
  </w:footnote>
  <w:footnote w:id="169">
    <w:p w:rsidR="00951AD8" w:rsidRDefault="00951AD8">
      <w:pPr>
        <w:pStyle w:val="Tekstfusnote"/>
      </w:pPr>
      <w:r>
        <w:rPr>
          <w:rStyle w:val="Referencafusnote"/>
        </w:rPr>
        <w:footnoteRef/>
      </w:r>
      <w:r>
        <w:t xml:space="preserve"> članak 49. stavak 3. SZ-a</w:t>
      </w:r>
    </w:p>
  </w:footnote>
  <w:footnote w:id="170">
    <w:p w:rsidR="00951AD8" w:rsidRDefault="00951AD8" w:rsidP="00DE521B">
      <w:pPr>
        <w:pStyle w:val="Tekstfusnote"/>
      </w:pPr>
      <w:r>
        <w:rPr>
          <w:rStyle w:val="Referencafusnote"/>
        </w:rPr>
        <w:footnoteRef/>
      </w:r>
      <w:r>
        <w:t xml:space="preserve"> Članak 40. Stavak 1. SZ-a</w:t>
      </w:r>
    </w:p>
  </w:footnote>
  <w:footnote w:id="171">
    <w:p w:rsidR="00951AD8" w:rsidRDefault="00951AD8" w:rsidP="00DE521B">
      <w:pPr>
        <w:pStyle w:val="Tekstfusnote"/>
      </w:pPr>
      <w:r>
        <w:rPr>
          <w:rStyle w:val="Referencafusnote"/>
        </w:rPr>
        <w:footnoteRef/>
      </w:r>
      <w:r>
        <w:t xml:space="preserve"> Članak 39. Stavak 1. SZ-a</w:t>
      </w:r>
    </w:p>
  </w:footnote>
  <w:footnote w:id="172">
    <w:p w:rsidR="00951AD8" w:rsidRDefault="00951AD8" w:rsidP="00DE521B">
      <w:pPr>
        <w:pStyle w:val="Tekstfusnote"/>
      </w:pPr>
      <w:r>
        <w:rPr>
          <w:rStyle w:val="Referencafusnote"/>
        </w:rPr>
        <w:footnoteRef/>
      </w:r>
      <w:r>
        <w:t xml:space="preserve"> članak 40. stavak 2. SZ-a</w:t>
      </w:r>
    </w:p>
  </w:footnote>
  <w:footnote w:id="173">
    <w:p w:rsidR="00951AD8" w:rsidRDefault="00951AD8" w:rsidP="00DE521B">
      <w:pPr>
        <w:pStyle w:val="Tekstfusnote"/>
      </w:pPr>
      <w:r>
        <w:rPr>
          <w:rStyle w:val="Referencafusnote"/>
        </w:rPr>
        <w:footnoteRef/>
      </w:r>
      <w:r>
        <w:t xml:space="preserve"> članak 40. stavak 3. SZ-a</w:t>
      </w:r>
    </w:p>
  </w:footnote>
  <w:footnote w:id="174">
    <w:p w:rsidR="00951AD8" w:rsidRDefault="00951AD8">
      <w:pPr>
        <w:pStyle w:val="Tekstfusnote"/>
      </w:pPr>
      <w:r>
        <w:rPr>
          <w:rStyle w:val="Referencafusnote"/>
        </w:rPr>
        <w:footnoteRef/>
      </w:r>
      <w:r>
        <w:t xml:space="preserve"> članak 41. stavak 1. SZ-a</w:t>
      </w:r>
    </w:p>
  </w:footnote>
  <w:footnote w:id="175">
    <w:p w:rsidR="00951AD8" w:rsidRDefault="00951AD8">
      <w:pPr>
        <w:pStyle w:val="Tekstfusnote"/>
      </w:pPr>
      <w:r>
        <w:rPr>
          <w:rStyle w:val="Referencafusnote"/>
        </w:rPr>
        <w:footnoteRef/>
      </w:r>
      <w:r>
        <w:t xml:space="preserve"> članak 41. stavak 3. SZ-a</w:t>
      </w:r>
    </w:p>
  </w:footnote>
  <w:footnote w:id="176">
    <w:p w:rsidR="00951AD8" w:rsidRDefault="00951AD8">
      <w:pPr>
        <w:pStyle w:val="Tekstfusnote"/>
      </w:pPr>
      <w:r>
        <w:rPr>
          <w:rStyle w:val="Referencafusnote"/>
        </w:rPr>
        <w:footnoteRef/>
      </w:r>
      <w:r>
        <w:t xml:space="preserve"> članak 41. stavak 2. SZ-a</w:t>
      </w:r>
    </w:p>
  </w:footnote>
  <w:footnote w:id="177">
    <w:p w:rsidR="00951AD8" w:rsidRDefault="00951AD8">
      <w:pPr>
        <w:pStyle w:val="Tekstfusnote"/>
      </w:pPr>
      <w:r>
        <w:rPr>
          <w:rStyle w:val="Referencafusnote"/>
        </w:rPr>
        <w:footnoteRef/>
      </w:r>
      <w:r>
        <w:t xml:space="preserve"> članak 42. stavak 1. SZ-a</w:t>
      </w:r>
    </w:p>
  </w:footnote>
  <w:footnote w:id="178">
    <w:p w:rsidR="00951AD8" w:rsidRDefault="00951AD8">
      <w:pPr>
        <w:pStyle w:val="Tekstfusnote"/>
      </w:pPr>
      <w:r>
        <w:rPr>
          <w:rStyle w:val="Referencafusnote"/>
        </w:rPr>
        <w:footnoteRef/>
      </w:r>
      <w:r>
        <w:t xml:space="preserve"> članak 42. stavak 2. SZ-a</w:t>
      </w:r>
    </w:p>
  </w:footnote>
  <w:footnote w:id="179">
    <w:p w:rsidR="00951AD8" w:rsidRDefault="00951AD8">
      <w:pPr>
        <w:pStyle w:val="Tekstfusnote"/>
      </w:pPr>
      <w:r>
        <w:rPr>
          <w:rStyle w:val="Referencafusnote"/>
        </w:rPr>
        <w:footnoteRef/>
      </w:r>
      <w:r>
        <w:t xml:space="preserve"> članak 43. stavak 1. SZ-a</w:t>
      </w:r>
    </w:p>
  </w:footnote>
  <w:footnote w:id="180">
    <w:p w:rsidR="00951AD8" w:rsidRDefault="00951AD8">
      <w:pPr>
        <w:pStyle w:val="Tekstfusnote"/>
      </w:pPr>
      <w:r>
        <w:rPr>
          <w:rStyle w:val="Referencafusnote"/>
        </w:rPr>
        <w:footnoteRef/>
      </w:r>
      <w:r>
        <w:t xml:space="preserve"> članak 43. stavak 2. SZ-a</w:t>
      </w:r>
    </w:p>
  </w:footnote>
  <w:footnote w:id="181">
    <w:p w:rsidR="00951AD8" w:rsidRDefault="00951AD8">
      <w:pPr>
        <w:pStyle w:val="Tekstfusnote"/>
      </w:pPr>
      <w:r>
        <w:rPr>
          <w:rStyle w:val="Referencafusnote"/>
        </w:rPr>
        <w:footnoteRef/>
      </w:r>
      <w:r>
        <w:t xml:space="preserve"> članak 43. stavak 3. SZ-a</w:t>
      </w:r>
    </w:p>
  </w:footnote>
  <w:footnote w:id="182">
    <w:p w:rsidR="00951AD8" w:rsidRDefault="00951AD8">
      <w:pPr>
        <w:pStyle w:val="Tekstfusnote"/>
      </w:pPr>
      <w:r>
        <w:rPr>
          <w:rStyle w:val="Referencafusnote"/>
        </w:rPr>
        <w:footnoteRef/>
      </w:r>
      <w:r>
        <w:t xml:space="preserve"> članak 43. stavak 4. SZ-a</w:t>
      </w:r>
    </w:p>
  </w:footnote>
  <w:footnote w:id="183">
    <w:p w:rsidR="00951AD8" w:rsidRDefault="00951AD8">
      <w:pPr>
        <w:pStyle w:val="Tekstfusnote"/>
      </w:pPr>
      <w:r>
        <w:rPr>
          <w:rStyle w:val="Referencafusnote"/>
        </w:rPr>
        <w:footnoteRef/>
      </w:r>
      <w:r>
        <w:t xml:space="preserve"> članak 43. stavak 5. SZ-a</w:t>
      </w:r>
    </w:p>
  </w:footnote>
  <w:footnote w:id="184">
    <w:p w:rsidR="00951AD8" w:rsidRDefault="00951AD8">
      <w:pPr>
        <w:pStyle w:val="Tekstfusnote"/>
      </w:pPr>
      <w:r>
        <w:rPr>
          <w:rStyle w:val="Referencafusnote"/>
        </w:rPr>
        <w:footnoteRef/>
      </w:r>
      <w:r>
        <w:t xml:space="preserve"> članak 43. stavak 6. SZ-a</w:t>
      </w:r>
    </w:p>
  </w:footnote>
  <w:footnote w:id="185">
    <w:p w:rsidR="00951AD8" w:rsidRDefault="00951AD8">
      <w:pPr>
        <w:pStyle w:val="Tekstfusnote"/>
      </w:pPr>
      <w:r>
        <w:rPr>
          <w:rStyle w:val="Referencafusnote"/>
        </w:rPr>
        <w:footnoteRef/>
      </w:r>
      <w:r>
        <w:t xml:space="preserve"> članak 43. stavak 7. SZ-a</w:t>
      </w:r>
    </w:p>
  </w:footnote>
  <w:footnote w:id="186">
    <w:p w:rsidR="00951AD8" w:rsidRDefault="00951AD8">
      <w:pPr>
        <w:pStyle w:val="Tekstfusnote"/>
      </w:pPr>
      <w:r>
        <w:rPr>
          <w:rStyle w:val="Referencafusnote"/>
        </w:rPr>
        <w:footnoteRef/>
      </w:r>
      <w:r>
        <w:t xml:space="preserve"> članak 46. stavak 1. SZ-a</w:t>
      </w:r>
    </w:p>
  </w:footnote>
  <w:footnote w:id="187">
    <w:p w:rsidR="00951AD8" w:rsidRDefault="00951AD8">
      <w:pPr>
        <w:pStyle w:val="Tekstfusnote"/>
      </w:pPr>
      <w:r>
        <w:rPr>
          <w:rStyle w:val="Referencafusnote"/>
        </w:rPr>
        <w:footnoteRef/>
      </w:r>
      <w:r>
        <w:t xml:space="preserve"> članak 47. SZ-a</w:t>
      </w:r>
    </w:p>
  </w:footnote>
  <w:footnote w:id="188">
    <w:p w:rsidR="00951AD8" w:rsidRDefault="00951AD8">
      <w:pPr>
        <w:pStyle w:val="Tekstfusnote"/>
      </w:pPr>
      <w:r>
        <w:rPr>
          <w:rStyle w:val="Referencafusnote"/>
        </w:rPr>
        <w:footnoteRef/>
      </w:r>
      <w:r>
        <w:t xml:space="preserve"> članak 46. stavak 4. i 5. SZ-a</w:t>
      </w:r>
    </w:p>
  </w:footnote>
  <w:footnote w:id="189">
    <w:p w:rsidR="00951AD8" w:rsidRDefault="00951AD8">
      <w:pPr>
        <w:pStyle w:val="Tekstfusnote"/>
      </w:pPr>
      <w:r>
        <w:rPr>
          <w:rStyle w:val="Referencafusnote"/>
        </w:rPr>
        <w:footnoteRef/>
      </w:r>
      <w:r>
        <w:t xml:space="preserve"> članak 48. stavak 1. SZ-a</w:t>
      </w:r>
    </w:p>
  </w:footnote>
  <w:footnote w:id="190">
    <w:p w:rsidR="00951AD8" w:rsidRDefault="00951AD8">
      <w:pPr>
        <w:pStyle w:val="Tekstfusnote"/>
      </w:pPr>
      <w:r>
        <w:rPr>
          <w:rStyle w:val="Referencafusnote"/>
        </w:rPr>
        <w:footnoteRef/>
      </w:r>
      <w:r>
        <w:t xml:space="preserve"> vidi odluku VTS RH poslovni broj: </w:t>
      </w:r>
      <w:proofErr w:type="spellStart"/>
      <w:r>
        <w:t>Pž</w:t>
      </w:r>
      <w:proofErr w:type="spellEnd"/>
      <w:r>
        <w:t>-7065/17 od 22.11.2017.</w:t>
      </w:r>
    </w:p>
  </w:footnote>
  <w:footnote w:id="191">
    <w:p w:rsidR="00951AD8" w:rsidRDefault="00951AD8">
      <w:pPr>
        <w:pStyle w:val="Tekstfusnote"/>
      </w:pPr>
      <w:r>
        <w:rPr>
          <w:rStyle w:val="Referencafusnote"/>
        </w:rPr>
        <w:footnoteRef/>
      </w:r>
      <w:r>
        <w:t xml:space="preserve"> članak 48. stavak 2. SZ-a</w:t>
      </w:r>
    </w:p>
  </w:footnote>
  <w:footnote w:id="192">
    <w:p w:rsidR="00951AD8" w:rsidRDefault="00951AD8">
      <w:pPr>
        <w:pStyle w:val="Tekstfusnote"/>
      </w:pPr>
      <w:r>
        <w:rPr>
          <w:rStyle w:val="Referencafusnote"/>
        </w:rPr>
        <w:footnoteRef/>
      </w:r>
      <w:r>
        <w:t xml:space="preserve"> članak 266. SZ-a</w:t>
      </w:r>
    </w:p>
  </w:footnote>
  <w:footnote w:id="193">
    <w:p w:rsidR="00951AD8" w:rsidRDefault="00951AD8">
      <w:pPr>
        <w:pStyle w:val="Tekstfusnote"/>
      </w:pPr>
      <w:r>
        <w:rPr>
          <w:rStyle w:val="Referencafusnote"/>
        </w:rPr>
        <w:footnoteRef/>
      </w:r>
      <w:r>
        <w:t xml:space="preserve"> članak 48. stavak 3. SZ-a</w:t>
      </w:r>
    </w:p>
  </w:footnote>
  <w:footnote w:id="194">
    <w:p w:rsidR="00951AD8" w:rsidRDefault="00951AD8">
      <w:pPr>
        <w:pStyle w:val="Tekstfusnote"/>
      </w:pPr>
      <w:r>
        <w:rPr>
          <w:rStyle w:val="Referencafusnote"/>
        </w:rPr>
        <w:footnoteRef/>
      </w:r>
      <w:r>
        <w:t xml:space="preserve"> članak 48. stavak 4. SZ-a</w:t>
      </w:r>
    </w:p>
  </w:footnote>
  <w:footnote w:id="195">
    <w:p w:rsidR="00951AD8" w:rsidRPr="002C4707" w:rsidRDefault="00951AD8" w:rsidP="002C4707">
      <w:pPr>
        <w:pStyle w:val="Bezproreda"/>
        <w:jc w:val="both"/>
        <w:rPr>
          <w:rFonts w:asciiTheme="minorHAnsi" w:hAnsiTheme="minorHAnsi" w:cstheme="minorHAnsi"/>
          <w:sz w:val="20"/>
          <w:szCs w:val="20"/>
        </w:rPr>
      </w:pPr>
      <w:r>
        <w:rPr>
          <w:rStyle w:val="Referencafusnote"/>
        </w:rPr>
        <w:footnoteRef/>
      </w:r>
      <w:r>
        <w:t xml:space="preserve"> </w:t>
      </w:r>
      <w:r w:rsidRPr="002C4707">
        <w:rPr>
          <w:rFonts w:asciiTheme="minorHAnsi" w:hAnsiTheme="minorHAnsi" w:cstheme="minorHAnsi"/>
          <w:sz w:val="20"/>
          <w:szCs w:val="20"/>
        </w:rPr>
        <w:t xml:space="preserve">vidi odluku VTS RH poslovni broj: </w:t>
      </w:r>
      <w:proofErr w:type="spellStart"/>
      <w:r w:rsidRPr="002C4707">
        <w:rPr>
          <w:rFonts w:asciiTheme="minorHAnsi" w:hAnsiTheme="minorHAnsi" w:cstheme="minorHAnsi"/>
          <w:sz w:val="20"/>
          <w:szCs w:val="20"/>
        </w:rPr>
        <w:t>Pž</w:t>
      </w:r>
      <w:proofErr w:type="spellEnd"/>
      <w:r w:rsidRPr="002C4707">
        <w:rPr>
          <w:rFonts w:asciiTheme="minorHAnsi" w:hAnsiTheme="minorHAnsi" w:cstheme="minorHAnsi"/>
          <w:sz w:val="20"/>
          <w:szCs w:val="20"/>
        </w:rPr>
        <w:t>-7823/17 od 2. siječnja 2018. u kojoj je izloženo: „Osnovano žalitelj tvrdi da je odredbom članka 48. stavak 3. Stečajnog zakona izričito propisana aktivna legitimacija osporavatelja za vođenje parnice radi utvrđivanja osporene tražbine i da je sud ne može arbitrarno primjenjivati tako da na parnicu uputi drugu osobu, u ovom slučaju vjerovnika osporene tražbine. S druge strane, očita je i nelogičnost ove odredbe, na koju s pravom ukazuje prvostupanjski sud, s obzirom na to da se osoba koja osporava tražbinu upućuje na parnicu radi utvrđivanja osporene tražbine (jednako kao i vjerovnici čije je tražbine osporio dužnik ili povjerenik), što bi moglo značiti da je upućena na dokazivanje onoga što je suprotno njenim tvrdnjama. Međutim, po stajalištu ovoga suda, onaj dio ove zakonske odredbe koji izaziva dvojbe treba tumačiti tako da će osporavatelj u parnici na koju je upućen dokazivati svoje tvrdnje o tome da tražbina ne postoji. Drugim riječima, u parnici radi utvrđivanja osporene tražbine iz članka 48. Stečajnog zakona, pored zahtjeva za utvrđenje postojanja (osnovanosti) tražbine (u parnicama iz stavka 1. i 2. tog članka) može se, istaći i tužbeni zahtjev na utvrđenje da ne postoji (da je neosnovana) tražbina vjerovnika koju je osporio drugi vjerovnik, a priznali dužnik i povjerenik (u parnici iz stavka 3. tog članka). Takvo tumačenje više odgovara ostalim dijelovima ove zakonske odredbe, posebno onom posve jasnom dijelu, da se na parnicu upućuje osporavatelj, a ne vjerovnik čija je tražbina osporena od strane drugog vjerovnika.“</w:t>
      </w:r>
    </w:p>
  </w:footnote>
  <w:footnote w:id="196">
    <w:p w:rsidR="00951AD8" w:rsidRDefault="00951AD8" w:rsidP="00E722C9">
      <w:pPr>
        <w:pStyle w:val="Tekstfusnote"/>
      </w:pPr>
      <w:r>
        <w:rPr>
          <w:rStyle w:val="Referencafusnote"/>
        </w:rPr>
        <w:footnoteRef/>
      </w:r>
      <w:r>
        <w:t xml:space="preserve"> članak 48. stavak 5. SZ-a</w:t>
      </w:r>
    </w:p>
  </w:footnote>
  <w:footnote w:id="197">
    <w:p w:rsidR="00951AD8" w:rsidRDefault="00951AD8" w:rsidP="00E722C9">
      <w:pPr>
        <w:pStyle w:val="Tekstfusnote"/>
      </w:pPr>
      <w:r>
        <w:rPr>
          <w:rStyle w:val="Referencafusnote"/>
        </w:rPr>
        <w:footnoteRef/>
      </w:r>
      <w:r>
        <w:t xml:space="preserve"> članak 50. stavak 2. i 3. u vezi s člankom 267. SZ-a</w:t>
      </w:r>
    </w:p>
  </w:footnote>
  <w:footnote w:id="198">
    <w:p w:rsidR="00951AD8" w:rsidRDefault="00951AD8">
      <w:pPr>
        <w:pStyle w:val="Tekstfusnote"/>
      </w:pPr>
      <w:r>
        <w:rPr>
          <w:rStyle w:val="Referencafusnote"/>
        </w:rPr>
        <w:footnoteRef/>
      </w:r>
      <w:r>
        <w:t xml:space="preserve"> članak 49. SZ-a</w:t>
      </w:r>
    </w:p>
  </w:footnote>
  <w:footnote w:id="199">
    <w:p w:rsidR="00951AD8" w:rsidRDefault="00951AD8">
      <w:pPr>
        <w:pStyle w:val="Tekstfusnote"/>
      </w:pPr>
      <w:r>
        <w:rPr>
          <w:rStyle w:val="Referencafusnote"/>
        </w:rPr>
        <w:footnoteRef/>
      </w:r>
      <w:r>
        <w:t xml:space="preserve"> članak 50. stavak 1. SZ-a</w:t>
      </w:r>
    </w:p>
  </w:footnote>
  <w:footnote w:id="200">
    <w:p w:rsidR="00951AD8" w:rsidRDefault="00951AD8">
      <w:pPr>
        <w:pStyle w:val="Tekstfusnote"/>
      </w:pPr>
      <w:r>
        <w:rPr>
          <w:rStyle w:val="Referencafusnote"/>
        </w:rPr>
        <w:footnoteRef/>
      </w:r>
      <w:r>
        <w:t xml:space="preserve"> članak 50. stavak 2. SZ-a u suprotnosti je s odredbom člankom 48. st. 3. SZ-a koji propisuje da se vjerovnik osporavatelj tražbine upućuje na parnicu radi utvrđivanja osporene tražbine. Međutim, vjerovnik koji je osporio tražbinu drugome vjerovniku nema interes da se u parnici tražbina utvrdi već ima interes da se utvrdi osnovanost  njegovog osporavanja tražbine</w:t>
      </w:r>
    </w:p>
  </w:footnote>
  <w:footnote w:id="201">
    <w:p w:rsidR="00951AD8" w:rsidRDefault="00951AD8">
      <w:pPr>
        <w:pStyle w:val="Tekstfusnote"/>
      </w:pPr>
      <w:r>
        <w:rPr>
          <w:rStyle w:val="Referencafusnote"/>
        </w:rPr>
        <w:footnoteRef/>
      </w:r>
      <w:r>
        <w:t xml:space="preserve"> vidi odluku VTS RH poslovni broj: </w:t>
      </w:r>
      <w:proofErr w:type="spellStart"/>
      <w:r>
        <w:t>Pž</w:t>
      </w:r>
      <w:proofErr w:type="spellEnd"/>
      <w:r>
        <w:t>-725/15 od 14.2.2017.</w:t>
      </w:r>
    </w:p>
  </w:footnote>
  <w:footnote w:id="202">
    <w:p w:rsidR="00951AD8" w:rsidRDefault="00951AD8">
      <w:pPr>
        <w:pStyle w:val="Tekstfusnote"/>
      </w:pPr>
      <w:r>
        <w:rPr>
          <w:rStyle w:val="Referencafusnote"/>
        </w:rPr>
        <w:footnoteRef/>
      </w:r>
      <w:r>
        <w:t xml:space="preserve"> Vidi odluku VTS RH poslovni broj: </w:t>
      </w:r>
      <w:proofErr w:type="spellStart"/>
      <w:r>
        <w:t>Pž</w:t>
      </w:r>
      <w:proofErr w:type="spellEnd"/>
      <w:r>
        <w:t>-7459/17 od 12.12.2017.</w:t>
      </w:r>
    </w:p>
  </w:footnote>
  <w:footnote w:id="203">
    <w:p w:rsidR="00951AD8" w:rsidRDefault="00951AD8">
      <w:pPr>
        <w:pStyle w:val="Tekstfusnote"/>
      </w:pPr>
      <w:r>
        <w:rPr>
          <w:rStyle w:val="Referencafusnote"/>
        </w:rPr>
        <w:footnoteRef/>
      </w:r>
      <w:r>
        <w:t xml:space="preserve"> članak 51. SZ-a</w:t>
      </w:r>
    </w:p>
  </w:footnote>
  <w:footnote w:id="204">
    <w:p w:rsidR="00951AD8" w:rsidRDefault="00951AD8">
      <w:pPr>
        <w:pStyle w:val="Tekstfusnote"/>
      </w:pPr>
      <w:r>
        <w:rPr>
          <w:rStyle w:val="Referencafusnote"/>
        </w:rPr>
        <w:footnoteRef/>
      </w:r>
      <w:r>
        <w:t xml:space="preserve"> članak 63. stavak 1. SZ-a (do stupanja na snagu ZIDSZ -Narodne novine 104/17, rok se računao od dana podnošenja prijedloga </w:t>
      </w:r>
    </w:p>
  </w:footnote>
  <w:footnote w:id="205">
    <w:p w:rsidR="00951AD8" w:rsidRDefault="00951AD8">
      <w:pPr>
        <w:pStyle w:val="Tekstfusnote"/>
      </w:pPr>
      <w:r>
        <w:rPr>
          <w:rStyle w:val="Referencafusnote"/>
        </w:rPr>
        <w:footnoteRef/>
      </w:r>
      <w:r>
        <w:t xml:space="preserve"> članak 63. stavak 2. SZ-a</w:t>
      </w:r>
    </w:p>
  </w:footnote>
  <w:footnote w:id="206">
    <w:p w:rsidR="00951AD8" w:rsidRDefault="00951AD8">
      <w:pPr>
        <w:pStyle w:val="Tekstfusnote"/>
      </w:pPr>
      <w:r>
        <w:rPr>
          <w:rStyle w:val="Referencafusnote"/>
        </w:rPr>
        <w:footnoteRef/>
      </w:r>
      <w:r>
        <w:t xml:space="preserve"> članak 63. stavak 3. SZ-a</w:t>
      </w:r>
    </w:p>
  </w:footnote>
  <w:footnote w:id="207">
    <w:p w:rsidR="00951AD8" w:rsidRDefault="00951AD8">
      <w:pPr>
        <w:pStyle w:val="Tekstfusnote"/>
      </w:pPr>
      <w:r>
        <w:rPr>
          <w:rStyle w:val="Referencafusnote"/>
        </w:rPr>
        <w:footnoteRef/>
      </w:r>
      <w:r>
        <w:t xml:space="preserve"> Ustav RH (Narodne novine broj: 56/90, 135/97, 8/98, 113/00, 124/00, 28/01, 41/01, 55/01, 76/10, 85/10 i 5/14)</w:t>
      </w:r>
    </w:p>
  </w:footnote>
  <w:footnote w:id="208">
    <w:p w:rsidR="00951AD8" w:rsidRDefault="00951AD8" w:rsidP="00BE2BA0">
      <w:pPr>
        <w:pStyle w:val="Tekstfusnote"/>
      </w:pPr>
      <w:r>
        <w:rPr>
          <w:rStyle w:val="Referencafusnote"/>
        </w:rPr>
        <w:footnoteRef/>
      </w:r>
      <w:r>
        <w:t xml:space="preserve"> </w:t>
      </w:r>
      <w:r w:rsidRPr="004655EA">
        <w:rPr>
          <w:rFonts w:ascii="Calibri" w:hAnsi="Calibri" w:cs="Calibri"/>
        </w:rPr>
        <w:t>Konvencija za zaštitu ljudskih prava i temeljnih sloboda</w:t>
      </w:r>
      <w:r>
        <w:t xml:space="preserve"> („Narodne novine“ – Međunarodni ugovori, broj 18/97, 6/99, 14/02, 13/03, 9/05, 1/06 i 2/10; dalje: EKLJP)</w:t>
      </w:r>
    </w:p>
  </w:footnote>
  <w:footnote w:id="209">
    <w:p w:rsidR="00951AD8" w:rsidRDefault="00951AD8" w:rsidP="00BE2BA0">
      <w:pPr>
        <w:pStyle w:val="Tekstfusnote"/>
      </w:pPr>
      <w:r>
        <w:rPr>
          <w:rStyle w:val="Referencafusnote"/>
        </w:rPr>
        <w:footnoteRef/>
      </w:r>
      <w:r>
        <w:t xml:space="preserve"> vidi odluke VTS RH poslovni broj: </w:t>
      </w:r>
      <w:proofErr w:type="spellStart"/>
      <w:r>
        <w:t>Pž</w:t>
      </w:r>
      <w:proofErr w:type="spellEnd"/>
      <w:r>
        <w:t xml:space="preserve">-8638/16 od 11.1.2017., i </w:t>
      </w:r>
      <w:proofErr w:type="spellStart"/>
      <w:r>
        <w:t>Pž</w:t>
      </w:r>
      <w:proofErr w:type="spellEnd"/>
      <w:r>
        <w:t>- 8441/16 od 19.12.2016.</w:t>
      </w:r>
    </w:p>
  </w:footnote>
  <w:footnote w:id="210">
    <w:p w:rsidR="00951AD8" w:rsidRDefault="00951AD8">
      <w:pPr>
        <w:pStyle w:val="Tekstfusnote"/>
      </w:pPr>
      <w:r>
        <w:rPr>
          <w:rStyle w:val="Referencafusnote"/>
        </w:rPr>
        <w:footnoteRef/>
      </w:r>
      <w:r>
        <w:t xml:space="preserve"> članak 61. stavak 1. SZ-a</w:t>
      </w:r>
    </w:p>
  </w:footnote>
  <w:footnote w:id="211">
    <w:p w:rsidR="00951AD8" w:rsidRDefault="00951AD8">
      <w:pPr>
        <w:pStyle w:val="Tekstfusnote"/>
      </w:pPr>
      <w:r>
        <w:rPr>
          <w:rStyle w:val="Referencafusnote"/>
        </w:rPr>
        <w:footnoteRef/>
      </w:r>
      <w:r>
        <w:t xml:space="preserve"> članak 52. SZ-a</w:t>
      </w:r>
    </w:p>
  </w:footnote>
  <w:footnote w:id="212">
    <w:p w:rsidR="00951AD8" w:rsidRDefault="00951AD8">
      <w:pPr>
        <w:pStyle w:val="Tekstfusnote"/>
      </w:pPr>
      <w:r>
        <w:rPr>
          <w:rStyle w:val="Referencafusnote"/>
        </w:rPr>
        <w:footnoteRef/>
      </w:r>
      <w:r>
        <w:t xml:space="preserve"> članak 26. SZ-a</w:t>
      </w:r>
    </w:p>
  </w:footnote>
  <w:footnote w:id="213">
    <w:p w:rsidR="00951AD8" w:rsidRDefault="00951AD8">
      <w:pPr>
        <w:pStyle w:val="Tekstfusnote"/>
      </w:pPr>
      <w:r>
        <w:rPr>
          <w:rStyle w:val="Referencafusnote"/>
        </w:rPr>
        <w:footnoteRef/>
      </w:r>
      <w:r>
        <w:t xml:space="preserve"> članak 27. SZ-a</w:t>
      </w:r>
    </w:p>
  </w:footnote>
  <w:footnote w:id="214">
    <w:p w:rsidR="00951AD8" w:rsidRDefault="00951AD8">
      <w:pPr>
        <w:pStyle w:val="Tekstfusnote"/>
      </w:pPr>
      <w:r>
        <w:rPr>
          <w:rStyle w:val="Referencafusnote"/>
        </w:rPr>
        <w:footnoteRef/>
      </w:r>
      <w:r>
        <w:t xml:space="preserve"> članak 52. stavak 1. SZ-a</w:t>
      </w:r>
    </w:p>
  </w:footnote>
  <w:footnote w:id="215">
    <w:p w:rsidR="00951AD8" w:rsidRDefault="00951AD8">
      <w:pPr>
        <w:pStyle w:val="Tekstfusnote"/>
      </w:pPr>
      <w:r>
        <w:rPr>
          <w:rStyle w:val="Referencafusnote"/>
        </w:rPr>
        <w:footnoteRef/>
      </w:r>
      <w:r>
        <w:t xml:space="preserve"> članak 52. stavak 2. SZ-a</w:t>
      </w:r>
    </w:p>
  </w:footnote>
  <w:footnote w:id="216">
    <w:p w:rsidR="00951AD8" w:rsidRDefault="00951AD8">
      <w:pPr>
        <w:pStyle w:val="Tekstfusnote"/>
      </w:pPr>
      <w:r>
        <w:rPr>
          <w:rStyle w:val="Referencafusnote"/>
        </w:rPr>
        <w:footnoteRef/>
      </w:r>
      <w:r>
        <w:t xml:space="preserve"> članak 64. stavak 1. točka 6. i stavak 2. SZ-a </w:t>
      </w:r>
    </w:p>
  </w:footnote>
  <w:footnote w:id="217">
    <w:p w:rsidR="00951AD8" w:rsidRDefault="00951AD8">
      <w:pPr>
        <w:pStyle w:val="Tekstfusnote"/>
      </w:pPr>
      <w:r>
        <w:rPr>
          <w:rStyle w:val="Referencafusnote"/>
        </w:rPr>
        <w:footnoteRef/>
      </w:r>
      <w:r>
        <w:t xml:space="preserve"> članak 53. SZ-a</w:t>
      </w:r>
    </w:p>
  </w:footnote>
  <w:footnote w:id="218">
    <w:p w:rsidR="00951AD8" w:rsidRDefault="00951AD8">
      <w:pPr>
        <w:pStyle w:val="Tekstfusnote"/>
      </w:pPr>
      <w:r>
        <w:rPr>
          <w:rStyle w:val="Referencafusnote"/>
        </w:rPr>
        <w:footnoteRef/>
      </w:r>
      <w:r>
        <w:t xml:space="preserve"> članak 64. stavak 1. točka 5. SZ-a</w:t>
      </w:r>
    </w:p>
  </w:footnote>
  <w:footnote w:id="219">
    <w:p w:rsidR="00951AD8" w:rsidRDefault="00951AD8">
      <w:pPr>
        <w:pStyle w:val="Tekstfusnote"/>
      </w:pPr>
      <w:r>
        <w:rPr>
          <w:rStyle w:val="Referencafusnote"/>
        </w:rPr>
        <w:footnoteRef/>
      </w:r>
      <w:r>
        <w:t xml:space="preserve"> članak 54. SZ-a</w:t>
      </w:r>
    </w:p>
  </w:footnote>
  <w:footnote w:id="220">
    <w:p w:rsidR="00951AD8" w:rsidRDefault="00951AD8">
      <w:pPr>
        <w:pStyle w:val="Tekstfusnote"/>
      </w:pPr>
      <w:r>
        <w:rPr>
          <w:rStyle w:val="Referencafusnote"/>
        </w:rPr>
        <w:footnoteRef/>
      </w:r>
      <w:r>
        <w:t xml:space="preserve"> članak 55. stavak 1. i 3. SZ-a</w:t>
      </w:r>
    </w:p>
  </w:footnote>
  <w:footnote w:id="221">
    <w:p w:rsidR="00951AD8" w:rsidRDefault="00951AD8">
      <w:pPr>
        <w:pStyle w:val="Tekstfusnote"/>
      </w:pPr>
      <w:r>
        <w:rPr>
          <w:rStyle w:val="Referencafusnote"/>
        </w:rPr>
        <w:footnoteRef/>
      </w:r>
      <w:r>
        <w:t xml:space="preserve"> članak 55. stavak 3., 4. i 5. SZ-a</w:t>
      </w:r>
    </w:p>
  </w:footnote>
  <w:footnote w:id="222">
    <w:p w:rsidR="00951AD8" w:rsidRDefault="00951AD8">
      <w:pPr>
        <w:pStyle w:val="Tekstfusnote"/>
      </w:pPr>
      <w:r>
        <w:rPr>
          <w:rStyle w:val="Referencafusnote"/>
        </w:rPr>
        <w:footnoteRef/>
      </w:r>
      <w:r>
        <w:t xml:space="preserve"> članak 55. stavak 6. SZ-a</w:t>
      </w:r>
    </w:p>
  </w:footnote>
  <w:footnote w:id="223">
    <w:p w:rsidR="00951AD8" w:rsidRDefault="00951AD8">
      <w:pPr>
        <w:pStyle w:val="Tekstfusnote"/>
      </w:pPr>
      <w:r>
        <w:rPr>
          <w:rStyle w:val="Referencafusnote"/>
        </w:rPr>
        <w:footnoteRef/>
      </w:r>
      <w:r>
        <w:t xml:space="preserve"> članak 56. SZ-a</w:t>
      </w:r>
    </w:p>
  </w:footnote>
  <w:footnote w:id="224">
    <w:p w:rsidR="00951AD8" w:rsidRDefault="00951AD8">
      <w:pPr>
        <w:pStyle w:val="Tekstfusnote"/>
      </w:pPr>
      <w:r>
        <w:rPr>
          <w:rStyle w:val="Referencafusnote"/>
        </w:rPr>
        <w:footnoteRef/>
      </w:r>
      <w:r>
        <w:t xml:space="preserve"> članak 324.SZ-a</w:t>
      </w:r>
    </w:p>
  </w:footnote>
  <w:footnote w:id="225">
    <w:p w:rsidR="00951AD8" w:rsidRDefault="00951AD8">
      <w:pPr>
        <w:pStyle w:val="Tekstfusnote"/>
      </w:pPr>
      <w:r>
        <w:rPr>
          <w:rStyle w:val="Referencafusnote"/>
        </w:rPr>
        <w:footnoteRef/>
      </w:r>
      <w:r>
        <w:t xml:space="preserve"> članak 324. stavak 2. SZ-a</w:t>
      </w:r>
    </w:p>
  </w:footnote>
  <w:footnote w:id="226">
    <w:p w:rsidR="00951AD8" w:rsidRDefault="00951AD8">
      <w:pPr>
        <w:pStyle w:val="Tekstfusnote"/>
      </w:pPr>
      <w:r>
        <w:rPr>
          <w:rStyle w:val="Referencafusnote"/>
        </w:rPr>
        <w:footnoteRef/>
      </w:r>
      <w:r>
        <w:t xml:space="preserve"> članak 57. SZ-a</w:t>
      </w:r>
    </w:p>
  </w:footnote>
  <w:footnote w:id="227">
    <w:p w:rsidR="00951AD8" w:rsidRDefault="00951AD8">
      <w:pPr>
        <w:pStyle w:val="Tekstfusnote"/>
      </w:pPr>
      <w:r>
        <w:rPr>
          <w:rStyle w:val="Referencafusnote"/>
        </w:rPr>
        <w:footnoteRef/>
      </w:r>
      <w:r>
        <w:t xml:space="preserve"> članak 36. stavak 4. SZ-a</w:t>
      </w:r>
    </w:p>
  </w:footnote>
  <w:footnote w:id="228">
    <w:p w:rsidR="00951AD8" w:rsidRDefault="00951AD8">
      <w:pPr>
        <w:pStyle w:val="Tekstfusnote"/>
      </w:pPr>
      <w:r>
        <w:rPr>
          <w:rStyle w:val="Referencafusnote"/>
        </w:rPr>
        <w:footnoteRef/>
      </w:r>
      <w:r>
        <w:t xml:space="preserve"> članak 58. stavak 2. SZ-a</w:t>
      </w:r>
    </w:p>
  </w:footnote>
  <w:footnote w:id="229">
    <w:p w:rsidR="00951AD8" w:rsidRDefault="00951AD8">
      <w:pPr>
        <w:pStyle w:val="Tekstfusnote"/>
      </w:pPr>
      <w:r>
        <w:rPr>
          <w:rStyle w:val="Referencafusnote"/>
        </w:rPr>
        <w:footnoteRef/>
      </w:r>
      <w:r>
        <w:t xml:space="preserve"> članak 58. stavak 3. SZ-a</w:t>
      </w:r>
    </w:p>
  </w:footnote>
  <w:footnote w:id="230">
    <w:p w:rsidR="00951AD8" w:rsidRDefault="00951AD8">
      <w:pPr>
        <w:pStyle w:val="Tekstfusnote"/>
      </w:pPr>
      <w:r>
        <w:rPr>
          <w:rStyle w:val="Referencafusnote"/>
        </w:rPr>
        <w:footnoteRef/>
      </w:r>
      <w:r>
        <w:t xml:space="preserve"> članak 59. stavak 1. SZ-a</w:t>
      </w:r>
    </w:p>
  </w:footnote>
  <w:footnote w:id="231">
    <w:p w:rsidR="00951AD8" w:rsidRDefault="00951AD8">
      <w:pPr>
        <w:pStyle w:val="Tekstfusnote"/>
      </w:pPr>
      <w:r>
        <w:rPr>
          <w:rStyle w:val="Referencafusnote"/>
        </w:rPr>
        <w:footnoteRef/>
      </w:r>
      <w:r>
        <w:t xml:space="preserve"> vidi odluku VTS poslovni broj: </w:t>
      </w:r>
      <w:proofErr w:type="spellStart"/>
      <w:r>
        <w:t>Pž</w:t>
      </w:r>
      <w:proofErr w:type="spellEnd"/>
      <w:r>
        <w:t>-8371/16 od 18.1.2017.</w:t>
      </w:r>
    </w:p>
  </w:footnote>
  <w:footnote w:id="232">
    <w:p w:rsidR="00951AD8" w:rsidRDefault="00951AD8">
      <w:pPr>
        <w:pStyle w:val="Tekstfusnote"/>
      </w:pPr>
      <w:r>
        <w:rPr>
          <w:rStyle w:val="Referencafusnote"/>
        </w:rPr>
        <w:footnoteRef/>
      </w:r>
      <w:r>
        <w:t xml:space="preserve"> vidi odluku VTS RH poslovni broj: </w:t>
      </w:r>
      <w:proofErr w:type="spellStart"/>
      <w:r>
        <w:t>Pž</w:t>
      </w:r>
      <w:proofErr w:type="spellEnd"/>
      <w:r>
        <w:t>-4578/17 od 6.9.2017.</w:t>
      </w:r>
    </w:p>
  </w:footnote>
  <w:footnote w:id="233">
    <w:p w:rsidR="00951AD8" w:rsidRDefault="00951AD8">
      <w:pPr>
        <w:pStyle w:val="Tekstfusnote"/>
      </w:pPr>
      <w:r>
        <w:rPr>
          <w:rStyle w:val="Referencafusnote"/>
        </w:rPr>
        <w:footnoteRef/>
      </w:r>
      <w:r>
        <w:t xml:space="preserve"> članak 61. SZ-a</w:t>
      </w:r>
    </w:p>
  </w:footnote>
  <w:footnote w:id="234">
    <w:p w:rsidR="00951AD8" w:rsidRDefault="00951AD8">
      <w:pPr>
        <w:pStyle w:val="Tekstfusnote"/>
      </w:pPr>
      <w:r>
        <w:rPr>
          <w:rStyle w:val="Referencafusnote"/>
        </w:rPr>
        <w:footnoteRef/>
      </w:r>
      <w:r>
        <w:t xml:space="preserve"> članak 61. stavak 2. SZ-a</w:t>
      </w:r>
    </w:p>
  </w:footnote>
  <w:footnote w:id="235">
    <w:p w:rsidR="00951AD8" w:rsidRDefault="00951AD8">
      <w:pPr>
        <w:pStyle w:val="Tekstfusnote"/>
      </w:pPr>
      <w:r>
        <w:rPr>
          <w:rStyle w:val="Referencafusnote"/>
        </w:rPr>
        <w:footnoteRef/>
      </w:r>
      <w:r>
        <w:t xml:space="preserve"> članak 61. stavak 3. SZ-a</w:t>
      </w:r>
    </w:p>
  </w:footnote>
  <w:footnote w:id="236">
    <w:p w:rsidR="00951AD8" w:rsidRDefault="00951AD8">
      <w:pPr>
        <w:pStyle w:val="Tekstfusnote"/>
      </w:pPr>
      <w:r>
        <w:rPr>
          <w:rStyle w:val="Referencafusnote"/>
        </w:rPr>
        <w:footnoteRef/>
      </w:r>
      <w:r>
        <w:t xml:space="preserve"> članak 61. stavak 4. SZ-a</w:t>
      </w:r>
    </w:p>
  </w:footnote>
  <w:footnote w:id="237">
    <w:p w:rsidR="00951AD8" w:rsidRDefault="00951AD8">
      <w:pPr>
        <w:pStyle w:val="Tekstfusnote"/>
      </w:pPr>
      <w:r>
        <w:rPr>
          <w:rStyle w:val="Referencafusnote"/>
        </w:rPr>
        <w:footnoteRef/>
      </w:r>
      <w:r>
        <w:t xml:space="preserve"> članak 62. SZ-a</w:t>
      </w:r>
    </w:p>
  </w:footnote>
  <w:footnote w:id="238">
    <w:p w:rsidR="00951AD8" w:rsidRDefault="00951AD8" w:rsidP="00876B8C">
      <w:pPr>
        <w:spacing w:after="0" w:line="240" w:lineRule="auto"/>
        <w:jc w:val="both"/>
      </w:pPr>
      <w:r>
        <w:rPr>
          <w:rStyle w:val="Referencafusnote"/>
        </w:rPr>
        <w:footnoteRef/>
      </w:r>
      <w:r>
        <w:t xml:space="preserve"> </w:t>
      </w:r>
      <w:r w:rsidRPr="00876B8C">
        <w:rPr>
          <w:sz w:val="20"/>
          <w:szCs w:val="20"/>
        </w:rPr>
        <w:t xml:space="preserve">vidi odluke VTS RH poslovni broj: </w:t>
      </w:r>
      <w:proofErr w:type="spellStart"/>
      <w:r w:rsidRPr="00876B8C">
        <w:rPr>
          <w:sz w:val="20"/>
          <w:szCs w:val="20"/>
        </w:rPr>
        <w:t>Pž</w:t>
      </w:r>
      <w:proofErr w:type="spellEnd"/>
      <w:r w:rsidRPr="00876B8C">
        <w:rPr>
          <w:sz w:val="20"/>
          <w:szCs w:val="20"/>
        </w:rPr>
        <w:t xml:space="preserve">-6298/15 od 5.1.2018.; </w:t>
      </w:r>
      <w:proofErr w:type="spellStart"/>
      <w:r w:rsidRPr="00876B8C">
        <w:rPr>
          <w:sz w:val="20"/>
          <w:szCs w:val="20"/>
        </w:rPr>
        <w:t>Pž</w:t>
      </w:r>
      <w:proofErr w:type="spellEnd"/>
      <w:r w:rsidRPr="00876B8C">
        <w:rPr>
          <w:sz w:val="20"/>
          <w:szCs w:val="20"/>
        </w:rPr>
        <w:t>-6905/17 od u kojoj je navedeno:</w:t>
      </w:r>
      <w:r w:rsidRPr="00876B8C">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w:t>
      </w:r>
      <w:r w:rsidRPr="00876B8C">
        <w:rPr>
          <w:rFonts w:eastAsia="Times New Roman" w:cstheme="minorHAnsi"/>
          <w:sz w:val="20"/>
          <w:szCs w:val="20"/>
          <w:lang w:eastAsia="hr-HR"/>
        </w:rPr>
        <w:t xml:space="preserve">Naime, upravo zbog toga što je tužitelj samo u postupku </w:t>
      </w:r>
      <w:proofErr w:type="spellStart"/>
      <w:r w:rsidRPr="00876B8C">
        <w:rPr>
          <w:rFonts w:eastAsia="Times New Roman" w:cstheme="minorHAnsi"/>
          <w:sz w:val="20"/>
          <w:szCs w:val="20"/>
          <w:lang w:eastAsia="hr-HR"/>
        </w:rPr>
        <w:t>predstečajne</w:t>
      </w:r>
      <w:proofErr w:type="spellEnd"/>
      <w:r w:rsidRPr="00876B8C">
        <w:rPr>
          <w:rFonts w:eastAsia="Times New Roman" w:cstheme="minorHAnsi"/>
          <w:sz w:val="20"/>
          <w:szCs w:val="20"/>
          <w:lang w:eastAsia="hr-HR"/>
        </w:rPr>
        <w:t xml:space="preserve"> nagodbe mogao ostvarivati svoju, u ovom postupku utuženu tražbinu u smislu odredbe čl. </w:t>
      </w:r>
      <w:smartTag w:uri="urn:schemas-microsoft-com:office:smarttags" w:element="metricconverter">
        <w:smartTagPr>
          <w:attr w:name="ProductID" w:val="71. st"/>
        </w:smartTagPr>
        <w:r w:rsidRPr="00876B8C">
          <w:rPr>
            <w:rFonts w:eastAsia="Times New Roman" w:cstheme="minorHAnsi"/>
            <w:sz w:val="20"/>
            <w:szCs w:val="20"/>
            <w:lang w:eastAsia="hr-HR"/>
          </w:rPr>
          <w:t>71. st</w:t>
        </w:r>
      </w:smartTag>
      <w:r w:rsidRPr="00876B8C">
        <w:rPr>
          <w:rFonts w:eastAsia="Times New Roman" w:cstheme="minorHAnsi"/>
          <w:sz w:val="20"/>
          <w:szCs w:val="20"/>
          <w:lang w:eastAsia="hr-HR"/>
        </w:rPr>
        <w:t>. 1. ZFPPN-a, protekom roka za prijavu potraživanja u tom postupku, tužitelj više ne može voditi ovaj parnični postupak pa je prvostupanjski sud pravilno odbacio tužbu jer je tužitelj izgubio procesnu legitimaciju za vođenje ovog parničnog postupka.</w:t>
      </w:r>
      <w:r w:rsidRPr="00876B8C">
        <w:rPr>
          <w:rFonts w:cstheme="minorHAnsi"/>
          <w:sz w:val="20"/>
          <w:szCs w:val="20"/>
        </w:rPr>
        <w:t xml:space="preserve"> Navedeno pravno shvaćanje izrazio je i Ustavni sud Republike Hrvatske u Odluci poslovni broj U-III-354/16 od 30. ožujka 2017.</w:t>
      </w:r>
      <w:r>
        <w:rPr>
          <w:rFonts w:cstheme="minorHAnsi"/>
          <w:sz w:val="20"/>
          <w:szCs w:val="20"/>
        </w:rPr>
        <w:t>“</w:t>
      </w:r>
    </w:p>
  </w:footnote>
  <w:footnote w:id="239">
    <w:p w:rsidR="00951AD8" w:rsidRDefault="00951AD8">
      <w:pPr>
        <w:pStyle w:val="Tekstfusnote"/>
      </w:pPr>
      <w:r>
        <w:rPr>
          <w:rStyle w:val="Referencafusnote"/>
        </w:rPr>
        <w:footnoteRef/>
      </w:r>
      <w:r>
        <w:t xml:space="preserve"> član </w:t>
      </w:r>
      <w:proofErr w:type="spellStart"/>
      <w:r>
        <w:t>ak</w:t>
      </w:r>
      <w:proofErr w:type="spellEnd"/>
      <w:r>
        <w:t xml:space="preserve"> 62. stavak 1. SZ-a</w:t>
      </w:r>
    </w:p>
  </w:footnote>
  <w:footnote w:id="240">
    <w:p w:rsidR="00951AD8" w:rsidRDefault="00951AD8">
      <w:pPr>
        <w:pStyle w:val="Tekstfusnote"/>
      </w:pPr>
      <w:r>
        <w:rPr>
          <w:rStyle w:val="Referencafusnote"/>
        </w:rPr>
        <w:footnoteRef/>
      </w:r>
      <w:r>
        <w:t xml:space="preserve"> članak 71. stavak 1. SZ-a</w:t>
      </w:r>
    </w:p>
  </w:footnote>
  <w:footnote w:id="241">
    <w:p w:rsidR="00951AD8" w:rsidRDefault="00951AD8">
      <w:pPr>
        <w:pStyle w:val="Tekstfusnote"/>
      </w:pPr>
      <w:r>
        <w:rPr>
          <w:rStyle w:val="Referencafusnote"/>
        </w:rPr>
        <w:footnoteRef/>
      </w:r>
      <w:r>
        <w:t xml:space="preserve"> članak 71. stavak 2. SZ-a</w:t>
      </w:r>
    </w:p>
  </w:footnote>
  <w:footnote w:id="242">
    <w:p w:rsidR="00951AD8" w:rsidRDefault="00951AD8">
      <w:pPr>
        <w:pStyle w:val="Tekstfusnote"/>
      </w:pPr>
      <w:r>
        <w:rPr>
          <w:rStyle w:val="Referencafusnote"/>
        </w:rPr>
        <w:footnoteRef/>
      </w:r>
      <w:r>
        <w:t xml:space="preserve"> članak 71. stavak 3. SZ-a</w:t>
      </w:r>
    </w:p>
  </w:footnote>
  <w:footnote w:id="243">
    <w:p w:rsidR="00951AD8" w:rsidRDefault="00951AD8">
      <w:pPr>
        <w:pStyle w:val="Tekstfusnote"/>
      </w:pPr>
      <w:r>
        <w:rPr>
          <w:rStyle w:val="Referencafusnote"/>
        </w:rPr>
        <w:footnoteRef/>
      </w:r>
      <w:r>
        <w:t xml:space="preserve"> članak 71. stavak 4. SZ-a</w:t>
      </w:r>
    </w:p>
  </w:footnote>
  <w:footnote w:id="244">
    <w:p w:rsidR="00951AD8" w:rsidRDefault="00951AD8">
      <w:pPr>
        <w:pStyle w:val="Tekstfusnote"/>
      </w:pPr>
      <w:r>
        <w:rPr>
          <w:rStyle w:val="Referencafusnote"/>
        </w:rPr>
        <w:footnoteRef/>
      </w:r>
      <w:r>
        <w:t xml:space="preserve"> članak 62. stavak 2. SZ-a</w:t>
      </w:r>
    </w:p>
  </w:footnote>
  <w:footnote w:id="245">
    <w:p w:rsidR="00951AD8" w:rsidRDefault="00951AD8">
      <w:pPr>
        <w:pStyle w:val="Tekstfusnote"/>
      </w:pPr>
      <w:r>
        <w:rPr>
          <w:rStyle w:val="Referencafusnote"/>
        </w:rPr>
        <w:footnoteRef/>
      </w:r>
      <w:r>
        <w:t xml:space="preserve"> članak 62. stavak 3. SZ-a</w:t>
      </w:r>
    </w:p>
  </w:footnote>
  <w:footnote w:id="246">
    <w:p w:rsidR="00951AD8" w:rsidRDefault="00951AD8">
      <w:pPr>
        <w:pStyle w:val="Tekstfusnote"/>
      </w:pPr>
      <w:r>
        <w:rPr>
          <w:rStyle w:val="Referencafusnote"/>
        </w:rPr>
        <w:footnoteRef/>
      </w:r>
      <w:r>
        <w:t xml:space="preserve"> članak 62. stavak 4. SZ-a</w:t>
      </w:r>
    </w:p>
  </w:footnote>
  <w:footnote w:id="247">
    <w:p w:rsidR="00951AD8" w:rsidRDefault="00951AD8">
      <w:pPr>
        <w:pStyle w:val="Tekstfusnote"/>
      </w:pPr>
      <w:r>
        <w:rPr>
          <w:rStyle w:val="Referencafusnote"/>
        </w:rPr>
        <w:footnoteRef/>
      </w:r>
      <w:r>
        <w:t xml:space="preserve"> članak 341. stavak 1. SZ-a</w:t>
      </w:r>
    </w:p>
  </w:footnote>
  <w:footnote w:id="248">
    <w:p w:rsidR="00951AD8" w:rsidRDefault="00951AD8">
      <w:pPr>
        <w:pStyle w:val="Tekstfusnote"/>
      </w:pPr>
      <w:r>
        <w:rPr>
          <w:rStyle w:val="Referencafusnote"/>
        </w:rPr>
        <w:footnoteRef/>
      </w:r>
      <w:r>
        <w:t xml:space="preserve"> članak 341. stavak 2. SZ-a</w:t>
      </w:r>
    </w:p>
  </w:footnote>
  <w:footnote w:id="249">
    <w:p w:rsidR="00951AD8" w:rsidRDefault="00951AD8">
      <w:pPr>
        <w:pStyle w:val="Tekstfusnote"/>
      </w:pPr>
      <w:r>
        <w:rPr>
          <w:rStyle w:val="Referencafusnote"/>
        </w:rPr>
        <w:footnoteRef/>
      </w:r>
      <w:r>
        <w:t xml:space="preserve"> članak 343. stavak 1. SZ-a  </w:t>
      </w:r>
    </w:p>
  </w:footnote>
  <w:footnote w:id="250">
    <w:p w:rsidR="00951AD8" w:rsidRDefault="00951AD8">
      <w:pPr>
        <w:pStyle w:val="Tekstfusnote"/>
      </w:pPr>
      <w:r>
        <w:rPr>
          <w:rStyle w:val="Referencafusnote"/>
        </w:rPr>
        <w:footnoteRef/>
      </w:r>
      <w:r>
        <w:t xml:space="preserve"> članak 343. stavak 3. SZ-a</w:t>
      </w:r>
    </w:p>
  </w:footnote>
  <w:footnote w:id="251">
    <w:p w:rsidR="00951AD8" w:rsidRDefault="00951AD8" w:rsidP="00C57425">
      <w:pPr>
        <w:pStyle w:val="Tekstfusnote"/>
      </w:pPr>
      <w:r w:rsidRPr="00D33555">
        <w:rPr>
          <w:rStyle w:val="FootnoteCharacters"/>
        </w:rPr>
        <w:footnoteRef/>
      </w:r>
      <w:r w:rsidRPr="00D33555">
        <w:t xml:space="preserve"> </w:t>
      </w:r>
      <w:r>
        <w:t>ZOO, članak 156. stavak 2.</w:t>
      </w:r>
    </w:p>
  </w:footnote>
  <w:footnote w:id="252">
    <w:p w:rsidR="00951AD8" w:rsidRDefault="00951AD8">
      <w:pPr>
        <w:pStyle w:val="Tekstfusnote"/>
      </w:pPr>
      <w:r>
        <w:rPr>
          <w:rStyle w:val="Referencafusnote"/>
        </w:rPr>
        <w:footnoteRef/>
      </w:r>
      <w:r>
        <w:t xml:space="preserve"> članak 65. stavak 1. SZ-a</w:t>
      </w:r>
    </w:p>
  </w:footnote>
  <w:footnote w:id="253">
    <w:p w:rsidR="00951AD8" w:rsidRDefault="00951AD8">
      <w:pPr>
        <w:pStyle w:val="Tekstfusnote"/>
      </w:pPr>
      <w:r>
        <w:rPr>
          <w:rStyle w:val="Referencafusnote"/>
        </w:rPr>
        <w:footnoteRef/>
      </w:r>
      <w:r>
        <w:t xml:space="preserve"> članak 65. stavak 2. SZ-a</w:t>
      </w:r>
    </w:p>
  </w:footnote>
  <w:footnote w:id="254">
    <w:p w:rsidR="00951AD8" w:rsidRDefault="00951AD8">
      <w:pPr>
        <w:pStyle w:val="Tekstfusnote"/>
      </w:pPr>
      <w:r>
        <w:rPr>
          <w:rStyle w:val="Referencafusnote"/>
        </w:rPr>
        <w:footnoteRef/>
      </w:r>
      <w:r>
        <w:t xml:space="preserve"> članak 65. stavak 3. SZ-a</w:t>
      </w:r>
    </w:p>
  </w:footnote>
  <w:footnote w:id="255">
    <w:p w:rsidR="00951AD8" w:rsidRDefault="00951AD8">
      <w:pPr>
        <w:pStyle w:val="Tekstfusnote"/>
      </w:pPr>
      <w:r>
        <w:rPr>
          <w:rStyle w:val="Referencafusnote"/>
        </w:rPr>
        <w:footnoteRef/>
      </w:r>
      <w:r>
        <w:t xml:space="preserve"> članak 321. stavak 8. ZPP-a</w:t>
      </w:r>
    </w:p>
  </w:footnote>
  <w:footnote w:id="256">
    <w:p w:rsidR="00951AD8" w:rsidRDefault="00951AD8" w:rsidP="001240B1">
      <w:pPr>
        <w:pStyle w:val="Bezproreda"/>
        <w:jc w:val="both"/>
      </w:pPr>
      <w:r w:rsidRPr="001240B1">
        <w:rPr>
          <w:rStyle w:val="Referencafusnote"/>
          <w:rFonts w:asciiTheme="minorHAnsi" w:hAnsiTheme="minorHAnsi" w:cstheme="minorHAnsi"/>
          <w:sz w:val="20"/>
          <w:szCs w:val="20"/>
        </w:rPr>
        <w:footnoteRef/>
      </w:r>
      <w:r>
        <w:t xml:space="preserve"> </w:t>
      </w:r>
      <w:r w:rsidRPr="001240B1">
        <w:rPr>
          <w:rFonts w:asciiTheme="minorHAnsi" w:hAnsiTheme="minorHAnsi" w:cstheme="minorHAnsi"/>
          <w:sz w:val="20"/>
          <w:szCs w:val="20"/>
        </w:rPr>
        <w:t xml:space="preserve">vidi odluku VTS RH poslovni broj: </w:t>
      </w:r>
      <w:proofErr w:type="spellStart"/>
      <w:r w:rsidRPr="001240B1">
        <w:rPr>
          <w:rFonts w:asciiTheme="minorHAnsi" w:hAnsiTheme="minorHAnsi" w:cstheme="minorHAnsi"/>
          <w:sz w:val="20"/>
          <w:szCs w:val="20"/>
        </w:rPr>
        <w:t>Pž</w:t>
      </w:r>
      <w:proofErr w:type="spellEnd"/>
      <w:r w:rsidRPr="001240B1">
        <w:rPr>
          <w:rFonts w:asciiTheme="minorHAnsi" w:hAnsiTheme="minorHAnsi" w:cstheme="minorHAnsi"/>
          <w:sz w:val="20"/>
          <w:szCs w:val="20"/>
        </w:rPr>
        <w:t xml:space="preserve">-6561/14 od 12.2.2018. u kojoj je navedeno:“Prvostupanjski sud je rješenjem poslovni broj P-3310/2011-43 ukinuo presudu pod  poslovnim brojem P-3310/2011-28 od 11. travnja 2014. i utvrdio da je tužba u ovoj pravnoj stvari povučena pozivom na odredbu čl. 321. st. 8. ZPP-a, jer je prvostupanjski sud prethodno utvrdio da je rješenjem Trgovačkog suda u Zagrebu poslovni broj  St-6830/2016 od 19. srpnja 2017. odobreno sklapanje </w:t>
      </w:r>
      <w:proofErr w:type="spellStart"/>
      <w:r w:rsidRPr="001240B1">
        <w:rPr>
          <w:rFonts w:asciiTheme="minorHAnsi" w:hAnsiTheme="minorHAnsi" w:cstheme="minorHAnsi"/>
          <w:sz w:val="20"/>
          <w:szCs w:val="20"/>
        </w:rPr>
        <w:t>predstečajne</w:t>
      </w:r>
      <w:proofErr w:type="spellEnd"/>
      <w:r w:rsidRPr="001240B1">
        <w:rPr>
          <w:rFonts w:asciiTheme="minorHAnsi" w:hAnsiTheme="minorHAnsi" w:cstheme="minorHAnsi"/>
          <w:sz w:val="20"/>
          <w:szCs w:val="20"/>
        </w:rPr>
        <w:t xml:space="preserve"> nagodbe kojom je obuhvaćena tražbina tužitelja.</w:t>
      </w:r>
      <w:r>
        <w:rPr>
          <w:rFonts w:asciiTheme="minorHAnsi" w:hAnsiTheme="minorHAnsi" w:cstheme="minorHAnsi"/>
          <w:sz w:val="20"/>
          <w:szCs w:val="20"/>
        </w:rPr>
        <w:t>“</w:t>
      </w:r>
    </w:p>
  </w:footnote>
  <w:footnote w:id="257">
    <w:p w:rsidR="00951AD8" w:rsidRDefault="00951AD8">
      <w:pPr>
        <w:pStyle w:val="Tekstfusnote"/>
      </w:pPr>
      <w:r>
        <w:rPr>
          <w:rStyle w:val="Referencafusnote"/>
        </w:rPr>
        <w:footnoteRef/>
      </w:r>
      <w:r>
        <w:t xml:space="preserve"> članak 66. SZ-a</w:t>
      </w:r>
    </w:p>
  </w:footnote>
  <w:footnote w:id="258">
    <w:p w:rsidR="00951AD8" w:rsidRDefault="00951AD8">
      <w:pPr>
        <w:pStyle w:val="Tekstfusnote"/>
      </w:pPr>
      <w:r>
        <w:rPr>
          <w:rStyle w:val="Referencafusnote"/>
        </w:rPr>
        <w:footnoteRef/>
      </w:r>
      <w:r>
        <w:t xml:space="preserve"> članak 66. stavak 2. SZ-a</w:t>
      </w:r>
    </w:p>
  </w:footnote>
  <w:footnote w:id="259">
    <w:p w:rsidR="00951AD8" w:rsidRDefault="00951AD8">
      <w:pPr>
        <w:pStyle w:val="Tekstfusnote"/>
      </w:pPr>
      <w:r>
        <w:rPr>
          <w:rStyle w:val="Referencafusnote"/>
        </w:rPr>
        <w:footnoteRef/>
      </w:r>
      <w:r>
        <w:t xml:space="preserve"> članak 67. SZ-a</w:t>
      </w:r>
    </w:p>
  </w:footnote>
  <w:footnote w:id="260">
    <w:p w:rsidR="00951AD8" w:rsidRDefault="00951AD8">
      <w:pPr>
        <w:pStyle w:val="Tekstfusnote"/>
      </w:pPr>
      <w:r>
        <w:rPr>
          <w:rStyle w:val="Referencafusnote"/>
        </w:rPr>
        <w:footnoteRef/>
      </w:r>
      <w:r>
        <w:t xml:space="preserve"> članak 67. stavak 1. SZ-a</w:t>
      </w:r>
    </w:p>
  </w:footnote>
  <w:footnote w:id="261">
    <w:p w:rsidR="00951AD8" w:rsidRDefault="00951AD8">
      <w:pPr>
        <w:pStyle w:val="Tekstfusnote"/>
      </w:pPr>
      <w:r>
        <w:rPr>
          <w:rStyle w:val="Referencafusnote"/>
        </w:rPr>
        <w:footnoteRef/>
      </w:r>
      <w:r>
        <w:t xml:space="preserve"> članak 67. stavak 2. SZ-a</w:t>
      </w:r>
    </w:p>
  </w:footnote>
  <w:footnote w:id="262">
    <w:p w:rsidR="00951AD8" w:rsidRDefault="00951AD8">
      <w:pPr>
        <w:pStyle w:val="Tekstfusnote"/>
      </w:pPr>
      <w:r>
        <w:rPr>
          <w:rStyle w:val="Referencafusnote"/>
        </w:rPr>
        <w:footnoteRef/>
      </w:r>
      <w:r>
        <w:t xml:space="preserve"> članak 67. stavak 3. SZ-a</w:t>
      </w:r>
    </w:p>
  </w:footnote>
  <w:footnote w:id="263">
    <w:p w:rsidR="00951AD8" w:rsidRDefault="00951AD8">
      <w:pPr>
        <w:pStyle w:val="Tekstfusnote"/>
      </w:pPr>
      <w:r>
        <w:rPr>
          <w:rStyle w:val="Referencafusnote"/>
        </w:rPr>
        <w:footnoteRef/>
      </w:r>
      <w:r>
        <w:t xml:space="preserve"> članak 67. stavak 4. SZ-a</w:t>
      </w:r>
    </w:p>
  </w:footnote>
  <w:footnote w:id="264">
    <w:p w:rsidR="00951AD8" w:rsidRDefault="00951AD8">
      <w:pPr>
        <w:pStyle w:val="Tekstfusnote"/>
      </w:pPr>
      <w:r>
        <w:rPr>
          <w:rStyle w:val="Referencafusnote"/>
        </w:rPr>
        <w:footnoteRef/>
      </w:r>
      <w:r>
        <w:t xml:space="preserve"> članak 64. st. 1. t. 5. SZ-a</w:t>
      </w:r>
    </w:p>
  </w:footnote>
  <w:footnote w:id="265">
    <w:p w:rsidR="00951AD8" w:rsidRDefault="00951AD8">
      <w:pPr>
        <w:pStyle w:val="Tekstfusnote"/>
      </w:pPr>
      <w:r>
        <w:rPr>
          <w:rStyle w:val="Referencafusnote"/>
        </w:rPr>
        <w:footnoteRef/>
      </w:r>
      <w:r>
        <w:t xml:space="preserve"> članak 67. stavak 5. SZ-a</w:t>
      </w:r>
    </w:p>
  </w:footnote>
  <w:footnote w:id="266">
    <w:p w:rsidR="00951AD8" w:rsidRDefault="00951AD8">
      <w:pPr>
        <w:pStyle w:val="Tekstfusnote"/>
      </w:pPr>
      <w:r>
        <w:rPr>
          <w:rStyle w:val="Referencafusnote"/>
        </w:rPr>
        <w:footnoteRef/>
      </w:r>
      <w:r>
        <w:t xml:space="preserve"> članak 62.a</w:t>
      </w:r>
    </w:p>
  </w:footnote>
  <w:footnote w:id="267">
    <w:p w:rsidR="00951AD8" w:rsidRDefault="00951AD8">
      <w:pPr>
        <w:pStyle w:val="Tekstfusnote"/>
      </w:pPr>
      <w:r>
        <w:rPr>
          <w:rStyle w:val="Referencafusnote"/>
        </w:rPr>
        <w:footnoteRef/>
      </w:r>
      <w:r>
        <w:t xml:space="preserve"> članak 68. SZ-a</w:t>
      </w:r>
    </w:p>
  </w:footnote>
  <w:footnote w:id="268">
    <w:p w:rsidR="00951AD8" w:rsidRDefault="00951AD8">
      <w:pPr>
        <w:pStyle w:val="Tekstfusnote"/>
      </w:pPr>
      <w:r>
        <w:rPr>
          <w:rStyle w:val="Referencafusnote"/>
        </w:rPr>
        <w:footnoteRef/>
      </w:r>
      <w:r>
        <w:t xml:space="preserve"> članak 69. SZ-a</w:t>
      </w:r>
    </w:p>
  </w:footnote>
  <w:footnote w:id="269">
    <w:p w:rsidR="00951AD8" w:rsidRDefault="00951AD8">
      <w:pPr>
        <w:pStyle w:val="Tekstfusnote"/>
      </w:pPr>
      <w:r>
        <w:rPr>
          <w:rStyle w:val="Referencafusnote"/>
        </w:rPr>
        <w:footnoteRef/>
      </w:r>
      <w:r>
        <w:t xml:space="preserve"> članak 70. SZ-a</w:t>
      </w:r>
    </w:p>
  </w:footnote>
  <w:footnote w:id="270">
    <w:p w:rsidR="00951AD8" w:rsidRDefault="00951AD8">
      <w:pPr>
        <w:pStyle w:val="Tekstfusnote"/>
      </w:pPr>
      <w:r>
        <w:rPr>
          <w:rStyle w:val="Referencafusnote"/>
        </w:rPr>
        <w:footnoteRef/>
      </w:r>
      <w:r>
        <w:t xml:space="preserve"> članak 71. SZ-a</w:t>
      </w:r>
    </w:p>
  </w:footnote>
  <w:footnote w:id="271">
    <w:p w:rsidR="00951AD8" w:rsidRDefault="00951AD8">
      <w:pPr>
        <w:pStyle w:val="Tekstfusnote"/>
      </w:pPr>
      <w:r>
        <w:rPr>
          <w:rStyle w:val="Referencafusnote"/>
        </w:rPr>
        <w:footnoteRef/>
      </w:r>
      <w:r>
        <w:t xml:space="preserve"> članak 72. SZ-a</w:t>
      </w:r>
    </w:p>
  </w:footnote>
  <w:footnote w:id="272">
    <w:p w:rsidR="00951AD8" w:rsidRDefault="00951AD8">
      <w:pPr>
        <w:pStyle w:val="Tekstfusnote"/>
      </w:pPr>
      <w:r>
        <w:rPr>
          <w:rStyle w:val="Referencafusnote"/>
        </w:rPr>
        <w:footnoteRef/>
      </w:r>
      <w:r>
        <w:t xml:space="preserve"> članak 73. SZ-a</w:t>
      </w:r>
    </w:p>
  </w:footnote>
  <w:footnote w:id="273">
    <w:p w:rsidR="00951AD8" w:rsidRDefault="00951AD8">
      <w:pPr>
        <w:pStyle w:val="Tekstfusnote"/>
      </w:pPr>
      <w:r>
        <w:rPr>
          <w:rStyle w:val="Referencafusnote"/>
        </w:rPr>
        <w:footnoteRef/>
      </w:r>
      <w:r>
        <w:t xml:space="preserve"> članak 74. SZ-a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9C8AD722"/>
    <w:lvl w:ilvl="0">
      <w:start w:val="2"/>
      <w:numFmt w:val="decimal"/>
      <w:lvlText w:val="%1."/>
      <w:lvlJc w:val="left"/>
      <w:pPr>
        <w:tabs>
          <w:tab w:val="num" w:pos="170"/>
        </w:tabs>
        <w:ind w:left="1070" w:hanging="360"/>
      </w:pPr>
      <w:rPr>
        <w:rFonts w:cs="Arial" w:hint="default"/>
        <w:b/>
        <w:i w:val="0"/>
        <w:szCs w:val="24"/>
      </w:rPr>
    </w:lvl>
  </w:abstractNum>
  <w:abstractNum w:abstractNumId="1">
    <w:nsid w:val="03D81AFD"/>
    <w:multiLevelType w:val="multilevel"/>
    <w:tmpl w:val="1F00B9A4"/>
    <w:lvl w:ilvl="0">
      <w:start w:val="3"/>
      <w:numFmt w:val="decimal"/>
      <w:lvlText w:val="%1."/>
      <w:lvlJc w:val="left"/>
      <w:pPr>
        <w:ind w:left="720" w:hanging="720"/>
      </w:pPr>
      <w:rPr>
        <w:rFonts w:hint="default"/>
        <w:b/>
      </w:rPr>
    </w:lvl>
    <w:lvl w:ilvl="1">
      <w:start w:val="3"/>
      <w:numFmt w:val="decimal"/>
      <w:lvlText w:val="%1.%2."/>
      <w:lvlJc w:val="left"/>
      <w:pPr>
        <w:ind w:left="1500" w:hanging="720"/>
      </w:pPr>
      <w:rPr>
        <w:rFonts w:hint="default"/>
        <w:b/>
      </w:rPr>
    </w:lvl>
    <w:lvl w:ilvl="2">
      <w:start w:val="11"/>
      <w:numFmt w:val="decimal"/>
      <w:lvlText w:val="%1.%2.%3."/>
      <w:lvlJc w:val="left"/>
      <w:pPr>
        <w:ind w:left="2280" w:hanging="720"/>
      </w:pPr>
      <w:rPr>
        <w:rFonts w:hint="default"/>
        <w:b/>
      </w:rPr>
    </w:lvl>
    <w:lvl w:ilvl="3">
      <w:start w:val="1"/>
      <w:numFmt w:val="decimal"/>
      <w:lvlText w:val="%1.%2.%3.%4."/>
      <w:lvlJc w:val="left"/>
      <w:pPr>
        <w:ind w:left="3420" w:hanging="1080"/>
      </w:pPr>
      <w:rPr>
        <w:rFonts w:hint="default"/>
        <w:b/>
      </w:rPr>
    </w:lvl>
    <w:lvl w:ilvl="4">
      <w:start w:val="1"/>
      <w:numFmt w:val="decimal"/>
      <w:lvlText w:val="%1.%2.%3.%4.%5."/>
      <w:lvlJc w:val="left"/>
      <w:pPr>
        <w:ind w:left="4200" w:hanging="1080"/>
      </w:pPr>
      <w:rPr>
        <w:rFonts w:hint="default"/>
        <w:b/>
      </w:rPr>
    </w:lvl>
    <w:lvl w:ilvl="5">
      <w:start w:val="1"/>
      <w:numFmt w:val="decimal"/>
      <w:lvlText w:val="%1.%2.%3.%4.%5.%6."/>
      <w:lvlJc w:val="left"/>
      <w:pPr>
        <w:ind w:left="5340" w:hanging="144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7260" w:hanging="1800"/>
      </w:pPr>
      <w:rPr>
        <w:rFonts w:hint="default"/>
        <w:b/>
      </w:rPr>
    </w:lvl>
    <w:lvl w:ilvl="8">
      <w:start w:val="1"/>
      <w:numFmt w:val="decimal"/>
      <w:lvlText w:val="%1.%2.%3.%4.%5.%6.%7.%8.%9."/>
      <w:lvlJc w:val="left"/>
      <w:pPr>
        <w:ind w:left="8400" w:hanging="2160"/>
      </w:pPr>
      <w:rPr>
        <w:rFonts w:hint="default"/>
        <w:b/>
      </w:rPr>
    </w:lvl>
  </w:abstractNum>
  <w:abstractNum w:abstractNumId="2">
    <w:nsid w:val="04C52DA7"/>
    <w:multiLevelType w:val="multilevel"/>
    <w:tmpl w:val="30D02A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9193382"/>
    <w:multiLevelType w:val="multilevel"/>
    <w:tmpl w:val="99D05AA6"/>
    <w:lvl w:ilvl="0">
      <w:start w:val="3"/>
      <w:numFmt w:val="decimal"/>
      <w:lvlText w:val="%1."/>
      <w:lvlJc w:val="left"/>
      <w:pPr>
        <w:ind w:left="540" w:hanging="540"/>
      </w:pPr>
      <w:rPr>
        <w:rFonts w:hint="default"/>
      </w:rPr>
    </w:lvl>
    <w:lvl w:ilvl="1">
      <w:start w:val="2"/>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
    <w:nsid w:val="0D8D01DC"/>
    <w:multiLevelType w:val="multilevel"/>
    <w:tmpl w:val="FF16B558"/>
    <w:lvl w:ilvl="0">
      <w:start w:val="5"/>
      <w:numFmt w:val="decimal"/>
      <w:lvlText w:val="%1"/>
      <w:lvlJc w:val="left"/>
      <w:pPr>
        <w:ind w:left="420" w:hanging="420"/>
      </w:pPr>
      <w:rPr>
        <w:rFonts w:hint="default"/>
      </w:rPr>
    </w:lvl>
    <w:lvl w:ilvl="1">
      <w:start w:val="10"/>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17BB2927"/>
    <w:multiLevelType w:val="multilevel"/>
    <w:tmpl w:val="F20072E2"/>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6">
    <w:nsid w:val="18E53112"/>
    <w:multiLevelType w:val="multilevel"/>
    <w:tmpl w:val="9744972A"/>
    <w:lvl w:ilvl="0">
      <w:start w:val="4"/>
      <w:numFmt w:val="decimal"/>
      <w:lvlText w:val="%1."/>
      <w:lvlJc w:val="left"/>
      <w:pPr>
        <w:ind w:left="540" w:hanging="540"/>
      </w:pPr>
      <w:rPr>
        <w:rFonts w:hint="default"/>
        <w:b/>
      </w:rPr>
    </w:lvl>
    <w:lvl w:ilvl="1">
      <w:start w:val="4"/>
      <w:numFmt w:val="decimal"/>
      <w:lvlText w:val="%1.%2."/>
      <w:lvlJc w:val="left"/>
      <w:pPr>
        <w:ind w:left="1615" w:hanging="720"/>
      </w:pPr>
      <w:rPr>
        <w:rFonts w:hint="default"/>
        <w:b/>
      </w:rPr>
    </w:lvl>
    <w:lvl w:ilvl="2">
      <w:start w:val="1"/>
      <w:numFmt w:val="decimal"/>
      <w:lvlText w:val="%1.%2.%3."/>
      <w:lvlJc w:val="left"/>
      <w:pPr>
        <w:ind w:left="2510" w:hanging="720"/>
      </w:pPr>
      <w:rPr>
        <w:rFonts w:hint="default"/>
        <w:b/>
      </w:rPr>
    </w:lvl>
    <w:lvl w:ilvl="3">
      <w:start w:val="1"/>
      <w:numFmt w:val="decimal"/>
      <w:lvlText w:val="%1.%2.%3.%4."/>
      <w:lvlJc w:val="left"/>
      <w:pPr>
        <w:ind w:left="3765" w:hanging="1080"/>
      </w:pPr>
      <w:rPr>
        <w:rFonts w:hint="default"/>
        <w:b/>
      </w:rPr>
    </w:lvl>
    <w:lvl w:ilvl="4">
      <w:start w:val="1"/>
      <w:numFmt w:val="decimal"/>
      <w:lvlText w:val="%1.%2.%3.%4.%5."/>
      <w:lvlJc w:val="left"/>
      <w:pPr>
        <w:ind w:left="4660" w:hanging="1080"/>
      </w:pPr>
      <w:rPr>
        <w:rFonts w:hint="default"/>
        <w:b/>
      </w:rPr>
    </w:lvl>
    <w:lvl w:ilvl="5">
      <w:start w:val="1"/>
      <w:numFmt w:val="decimal"/>
      <w:lvlText w:val="%1.%2.%3.%4.%5.%6."/>
      <w:lvlJc w:val="left"/>
      <w:pPr>
        <w:ind w:left="5915" w:hanging="1440"/>
      </w:pPr>
      <w:rPr>
        <w:rFonts w:hint="default"/>
        <w:b/>
      </w:rPr>
    </w:lvl>
    <w:lvl w:ilvl="6">
      <w:start w:val="1"/>
      <w:numFmt w:val="decimal"/>
      <w:lvlText w:val="%1.%2.%3.%4.%5.%6.%7."/>
      <w:lvlJc w:val="left"/>
      <w:pPr>
        <w:ind w:left="6810" w:hanging="1440"/>
      </w:pPr>
      <w:rPr>
        <w:rFonts w:hint="default"/>
        <w:b/>
      </w:rPr>
    </w:lvl>
    <w:lvl w:ilvl="7">
      <w:start w:val="1"/>
      <w:numFmt w:val="decimal"/>
      <w:lvlText w:val="%1.%2.%3.%4.%5.%6.%7.%8."/>
      <w:lvlJc w:val="left"/>
      <w:pPr>
        <w:ind w:left="8065" w:hanging="1800"/>
      </w:pPr>
      <w:rPr>
        <w:rFonts w:hint="default"/>
        <w:b/>
      </w:rPr>
    </w:lvl>
    <w:lvl w:ilvl="8">
      <w:start w:val="1"/>
      <w:numFmt w:val="decimal"/>
      <w:lvlText w:val="%1.%2.%3.%4.%5.%6.%7.%8.%9."/>
      <w:lvlJc w:val="left"/>
      <w:pPr>
        <w:ind w:left="8960" w:hanging="1800"/>
      </w:pPr>
      <w:rPr>
        <w:rFonts w:hint="default"/>
        <w:b/>
      </w:rPr>
    </w:lvl>
  </w:abstractNum>
  <w:abstractNum w:abstractNumId="7">
    <w:nsid w:val="1CC31928"/>
    <w:multiLevelType w:val="multilevel"/>
    <w:tmpl w:val="92540AB8"/>
    <w:lvl w:ilvl="0">
      <w:start w:val="3"/>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nsid w:val="20DC594F"/>
    <w:multiLevelType w:val="multilevel"/>
    <w:tmpl w:val="CC128DBE"/>
    <w:lvl w:ilvl="0">
      <w:start w:val="3"/>
      <w:numFmt w:val="decimal"/>
      <w:lvlText w:val="%1."/>
      <w:lvlJc w:val="left"/>
      <w:pPr>
        <w:ind w:left="720" w:hanging="720"/>
      </w:pPr>
      <w:rPr>
        <w:rFonts w:hint="default"/>
      </w:rPr>
    </w:lvl>
    <w:lvl w:ilvl="1">
      <w:start w:val="3"/>
      <w:numFmt w:val="decimal"/>
      <w:lvlText w:val="%1.%2."/>
      <w:lvlJc w:val="left"/>
      <w:pPr>
        <w:ind w:left="1500" w:hanging="720"/>
      </w:pPr>
      <w:rPr>
        <w:rFonts w:hint="default"/>
      </w:rPr>
    </w:lvl>
    <w:lvl w:ilvl="2">
      <w:start w:val="12"/>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9">
    <w:nsid w:val="20DE19D4"/>
    <w:multiLevelType w:val="multilevel"/>
    <w:tmpl w:val="5A62F916"/>
    <w:lvl w:ilvl="0">
      <w:start w:val="1"/>
      <w:numFmt w:val="upperRoman"/>
      <w:lvlText w:val="%1."/>
      <w:lvlJc w:val="left"/>
      <w:pPr>
        <w:ind w:left="1429" w:hanging="720"/>
      </w:pPr>
      <w:rPr>
        <w:rFonts w:hint="default"/>
        <w:b/>
        <w:sz w:val="28"/>
        <w:szCs w:val="28"/>
      </w:rPr>
    </w:lvl>
    <w:lvl w:ilvl="1">
      <w:start w:val="1"/>
      <w:numFmt w:val="decimal"/>
      <w:isLgl/>
      <w:lvlText w:val="%1.%2."/>
      <w:lvlJc w:val="left"/>
      <w:pPr>
        <w:ind w:left="1288"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10">
    <w:nsid w:val="24800E0A"/>
    <w:multiLevelType w:val="multilevel"/>
    <w:tmpl w:val="0CA69982"/>
    <w:lvl w:ilvl="0">
      <w:start w:val="3"/>
      <w:numFmt w:val="decimal"/>
      <w:lvlText w:val="%1."/>
      <w:lvlJc w:val="left"/>
      <w:pPr>
        <w:ind w:left="360" w:hanging="360"/>
      </w:pPr>
      <w:rPr>
        <w:rFonts w:hint="default"/>
        <w:b/>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4B30D6E"/>
    <w:multiLevelType w:val="hybridMultilevel"/>
    <w:tmpl w:val="81B6BB00"/>
    <w:lvl w:ilvl="0" w:tplc="ED9AEC1C">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2">
    <w:nsid w:val="2E2D3B15"/>
    <w:multiLevelType w:val="multilevel"/>
    <w:tmpl w:val="430C989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68C447E"/>
    <w:multiLevelType w:val="hybridMultilevel"/>
    <w:tmpl w:val="89F04874"/>
    <w:lvl w:ilvl="0" w:tplc="A0AC80EE">
      <w:start w:val="1"/>
      <w:numFmt w:val="lowerLetter"/>
      <w:lvlText w:val="%1)"/>
      <w:lvlJc w:val="left"/>
      <w:pPr>
        <w:ind w:left="1069" w:hanging="360"/>
      </w:pPr>
      <w:rPr>
        <w:rFonts w:hint="default"/>
        <w:b/>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4">
    <w:nsid w:val="36F477A7"/>
    <w:multiLevelType w:val="multilevel"/>
    <w:tmpl w:val="0928A5B6"/>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i w:val="0"/>
      </w:rPr>
    </w:lvl>
    <w:lvl w:ilvl="2">
      <w:start w:val="1"/>
      <w:numFmt w:val="decimal"/>
      <w:lvlText w:val="%1.%2.%3."/>
      <w:lvlJc w:val="left"/>
      <w:pPr>
        <w:ind w:left="2496" w:hanging="720"/>
      </w:pPr>
      <w:rPr>
        <w:rFonts w:hint="default"/>
      </w:rPr>
    </w:lvl>
    <w:lvl w:ilvl="3">
      <w:start w:val="1"/>
      <w:numFmt w:val="decimal"/>
      <w:lvlText w:val="%1.%2.%3.%4."/>
      <w:lvlJc w:val="left"/>
      <w:pPr>
        <w:ind w:left="3384" w:hanging="72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520" w:hanging="1080"/>
      </w:pPr>
      <w:rPr>
        <w:rFonts w:hint="default"/>
      </w:rPr>
    </w:lvl>
    <w:lvl w:ilvl="6">
      <w:start w:val="1"/>
      <w:numFmt w:val="decimal"/>
      <w:lvlText w:val="%1.%2.%3.%4.%5.%6.%7."/>
      <w:lvlJc w:val="left"/>
      <w:pPr>
        <w:ind w:left="6768" w:hanging="1440"/>
      </w:pPr>
      <w:rPr>
        <w:rFonts w:hint="default"/>
      </w:rPr>
    </w:lvl>
    <w:lvl w:ilvl="7">
      <w:start w:val="1"/>
      <w:numFmt w:val="decimal"/>
      <w:lvlText w:val="%1.%2.%3.%4.%5.%6.%7.%8."/>
      <w:lvlJc w:val="left"/>
      <w:pPr>
        <w:ind w:left="7656" w:hanging="1440"/>
      </w:pPr>
      <w:rPr>
        <w:rFonts w:hint="default"/>
      </w:rPr>
    </w:lvl>
    <w:lvl w:ilvl="8">
      <w:start w:val="1"/>
      <w:numFmt w:val="decimal"/>
      <w:lvlText w:val="%1.%2.%3.%4.%5.%6.%7.%8.%9."/>
      <w:lvlJc w:val="left"/>
      <w:pPr>
        <w:ind w:left="8904" w:hanging="1800"/>
      </w:pPr>
      <w:rPr>
        <w:rFonts w:hint="default"/>
      </w:rPr>
    </w:lvl>
  </w:abstractNum>
  <w:abstractNum w:abstractNumId="15">
    <w:nsid w:val="3FF42B86"/>
    <w:multiLevelType w:val="multilevel"/>
    <w:tmpl w:val="569C23C6"/>
    <w:lvl w:ilvl="0">
      <w:start w:val="3"/>
      <w:numFmt w:val="decimal"/>
      <w:lvlText w:val="%1."/>
      <w:lvlJc w:val="left"/>
      <w:pPr>
        <w:ind w:left="540" w:hanging="540"/>
      </w:pPr>
      <w:rPr>
        <w:rFonts w:hint="default"/>
        <w:b/>
      </w:rPr>
    </w:lvl>
    <w:lvl w:ilvl="1">
      <w:start w:val="4"/>
      <w:numFmt w:val="decimal"/>
      <w:lvlText w:val="%1.%2."/>
      <w:lvlJc w:val="left"/>
      <w:pPr>
        <w:ind w:left="894" w:hanging="540"/>
      </w:pPr>
      <w:rPr>
        <w:rFonts w:hint="default"/>
        <w:b/>
      </w:rPr>
    </w:lvl>
    <w:lvl w:ilvl="2">
      <w:start w:val="2"/>
      <w:numFmt w:val="decimal"/>
      <w:lvlText w:val="%1.%2.%3."/>
      <w:lvlJc w:val="left"/>
      <w:pPr>
        <w:ind w:left="1428" w:hanging="720"/>
      </w:pPr>
      <w:rPr>
        <w:rFonts w:ascii="Arial" w:hAnsi="Arial" w:cs="Arial"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16">
    <w:nsid w:val="417743D9"/>
    <w:multiLevelType w:val="multilevel"/>
    <w:tmpl w:val="5F76B704"/>
    <w:lvl w:ilvl="0">
      <w:start w:val="1"/>
      <w:numFmt w:val="decimal"/>
      <w:lvlText w:val="%1."/>
      <w:lvlJc w:val="left"/>
      <w:pPr>
        <w:ind w:left="1069" w:hanging="360"/>
      </w:pPr>
      <w:rPr>
        <w:rFonts w:hint="default"/>
        <w:b/>
      </w:rPr>
    </w:lvl>
    <w:lvl w:ilvl="1">
      <w:start w:val="3"/>
      <w:numFmt w:val="decimal"/>
      <w:isLgl/>
      <w:lvlText w:val="%1.%2."/>
      <w:lvlJc w:val="left"/>
      <w:pPr>
        <w:ind w:left="1249" w:hanging="540"/>
      </w:pPr>
      <w:rPr>
        <w:rFonts w:hint="default"/>
      </w:rPr>
    </w:lvl>
    <w:lvl w:ilvl="2">
      <w:start w:val="7"/>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49382B8C"/>
    <w:multiLevelType w:val="multilevel"/>
    <w:tmpl w:val="8AB26C1E"/>
    <w:lvl w:ilvl="0">
      <w:start w:val="3"/>
      <w:numFmt w:val="decimal"/>
      <w:lvlText w:val="%1."/>
      <w:lvlJc w:val="left"/>
      <w:pPr>
        <w:ind w:left="540" w:hanging="540"/>
      </w:pPr>
      <w:rPr>
        <w:rFonts w:hint="default"/>
        <w:b/>
      </w:rPr>
    </w:lvl>
    <w:lvl w:ilvl="1">
      <w:start w:val="4"/>
      <w:numFmt w:val="decimal"/>
      <w:lvlText w:val="%1.%2."/>
      <w:lvlJc w:val="left"/>
      <w:pPr>
        <w:ind w:left="1249" w:hanging="540"/>
      </w:pPr>
      <w:rPr>
        <w:rFonts w:hint="default"/>
        <w:b/>
      </w:rPr>
    </w:lvl>
    <w:lvl w:ilvl="2">
      <w:start w:val="8"/>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8">
    <w:nsid w:val="4B4D0A91"/>
    <w:multiLevelType w:val="multilevel"/>
    <w:tmpl w:val="12CC7C2C"/>
    <w:lvl w:ilvl="0">
      <w:start w:val="4"/>
      <w:numFmt w:val="decimal"/>
      <w:lvlText w:val="%1"/>
      <w:lvlJc w:val="left"/>
      <w:pPr>
        <w:ind w:left="480" w:hanging="480"/>
      </w:pPr>
      <w:rPr>
        <w:rFonts w:hint="default"/>
        <w:b/>
      </w:rPr>
    </w:lvl>
    <w:lvl w:ilvl="1">
      <w:start w:val="4"/>
      <w:numFmt w:val="decimal"/>
      <w:lvlText w:val="%1.%2"/>
      <w:lvlJc w:val="left"/>
      <w:pPr>
        <w:ind w:left="1015" w:hanging="480"/>
      </w:pPr>
      <w:rPr>
        <w:rFonts w:hint="default"/>
        <w:b/>
      </w:rPr>
    </w:lvl>
    <w:lvl w:ilvl="2">
      <w:start w:val="1"/>
      <w:numFmt w:val="decimal"/>
      <w:lvlText w:val="%1.%2.%3"/>
      <w:lvlJc w:val="left"/>
      <w:pPr>
        <w:ind w:left="1790" w:hanging="720"/>
      </w:pPr>
      <w:rPr>
        <w:rFonts w:hint="default"/>
        <w:b/>
      </w:rPr>
    </w:lvl>
    <w:lvl w:ilvl="3">
      <w:start w:val="1"/>
      <w:numFmt w:val="decimal"/>
      <w:lvlText w:val="%1.%2.%3.%4"/>
      <w:lvlJc w:val="left"/>
      <w:pPr>
        <w:ind w:left="2325" w:hanging="720"/>
      </w:pPr>
      <w:rPr>
        <w:rFonts w:hint="default"/>
        <w:b/>
      </w:rPr>
    </w:lvl>
    <w:lvl w:ilvl="4">
      <w:start w:val="1"/>
      <w:numFmt w:val="decimal"/>
      <w:lvlText w:val="%1.%2.%3.%4.%5"/>
      <w:lvlJc w:val="left"/>
      <w:pPr>
        <w:ind w:left="3220" w:hanging="1080"/>
      </w:pPr>
      <w:rPr>
        <w:rFonts w:hint="default"/>
        <w:b/>
      </w:rPr>
    </w:lvl>
    <w:lvl w:ilvl="5">
      <w:start w:val="1"/>
      <w:numFmt w:val="decimal"/>
      <w:lvlText w:val="%1.%2.%3.%4.%5.%6"/>
      <w:lvlJc w:val="left"/>
      <w:pPr>
        <w:ind w:left="3755" w:hanging="1080"/>
      </w:pPr>
      <w:rPr>
        <w:rFonts w:hint="default"/>
        <w:b/>
      </w:rPr>
    </w:lvl>
    <w:lvl w:ilvl="6">
      <w:start w:val="1"/>
      <w:numFmt w:val="decimal"/>
      <w:lvlText w:val="%1.%2.%3.%4.%5.%6.%7"/>
      <w:lvlJc w:val="left"/>
      <w:pPr>
        <w:ind w:left="4650" w:hanging="1440"/>
      </w:pPr>
      <w:rPr>
        <w:rFonts w:hint="default"/>
        <w:b/>
      </w:rPr>
    </w:lvl>
    <w:lvl w:ilvl="7">
      <w:start w:val="1"/>
      <w:numFmt w:val="decimal"/>
      <w:lvlText w:val="%1.%2.%3.%4.%5.%6.%7.%8"/>
      <w:lvlJc w:val="left"/>
      <w:pPr>
        <w:ind w:left="5185" w:hanging="1440"/>
      </w:pPr>
      <w:rPr>
        <w:rFonts w:hint="default"/>
        <w:b/>
      </w:rPr>
    </w:lvl>
    <w:lvl w:ilvl="8">
      <w:start w:val="1"/>
      <w:numFmt w:val="decimal"/>
      <w:lvlText w:val="%1.%2.%3.%4.%5.%6.%7.%8.%9"/>
      <w:lvlJc w:val="left"/>
      <w:pPr>
        <w:ind w:left="6080" w:hanging="1800"/>
      </w:pPr>
      <w:rPr>
        <w:rFonts w:hint="default"/>
        <w:b/>
      </w:rPr>
    </w:lvl>
  </w:abstractNum>
  <w:abstractNum w:abstractNumId="19">
    <w:nsid w:val="4DB55984"/>
    <w:multiLevelType w:val="multilevel"/>
    <w:tmpl w:val="569C23C6"/>
    <w:lvl w:ilvl="0">
      <w:start w:val="3"/>
      <w:numFmt w:val="decimal"/>
      <w:lvlText w:val="%1."/>
      <w:lvlJc w:val="left"/>
      <w:pPr>
        <w:ind w:left="540" w:hanging="540"/>
      </w:pPr>
      <w:rPr>
        <w:rFonts w:hint="default"/>
        <w:b/>
      </w:rPr>
    </w:lvl>
    <w:lvl w:ilvl="1">
      <w:start w:val="4"/>
      <w:numFmt w:val="decimal"/>
      <w:lvlText w:val="%1.%2."/>
      <w:lvlJc w:val="left"/>
      <w:pPr>
        <w:ind w:left="894" w:hanging="540"/>
      </w:pPr>
      <w:rPr>
        <w:rFonts w:hint="default"/>
        <w:b/>
      </w:rPr>
    </w:lvl>
    <w:lvl w:ilvl="2">
      <w:start w:val="2"/>
      <w:numFmt w:val="decimal"/>
      <w:lvlText w:val="%1.%2.%3."/>
      <w:lvlJc w:val="left"/>
      <w:pPr>
        <w:ind w:left="720" w:hanging="720"/>
      </w:pPr>
      <w:rPr>
        <w:rFonts w:ascii="Arial" w:hAnsi="Arial" w:cs="Arial"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20">
    <w:nsid w:val="534C5E02"/>
    <w:multiLevelType w:val="hybridMultilevel"/>
    <w:tmpl w:val="7144B2D2"/>
    <w:lvl w:ilvl="0" w:tplc="5F12B948">
      <w:start w:val="1"/>
      <w:numFmt w:val="lowerLetter"/>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21">
    <w:nsid w:val="56C04F32"/>
    <w:multiLevelType w:val="hybridMultilevel"/>
    <w:tmpl w:val="A3FCA6B2"/>
    <w:lvl w:ilvl="0" w:tplc="97CAA44C">
      <w:start w:val="1"/>
      <w:numFmt w:val="lowerRoman"/>
      <w:lvlText w:val="%1)"/>
      <w:lvlJc w:val="left"/>
      <w:pPr>
        <w:ind w:left="1429"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2">
    <w:nsid w:val="58D1252B"/>
    <w:multiLevelType w:val="hybridMultilevel"/>
    <w:tmpl w:val="EEB65950"/>
    <w:lvl w:ilvl="0" w:tplc="28662788">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3">
    <w:nsid w:val="5A4844B3"/>
    <w:multiLevelType w:val="multilevel"/>
    <w:tmpl w:val="9E34A21E"/>
    <w:lvl w:ilvl="0">
      <w:start w:val="3"/>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61280D49"/>
    <w:multiLevelType w:val="multilevel"/>
    <w:tmpl w:val="97EA9A52"/>
    <w:lvl w:ilvl="0">
      <w:start w:val="3"/>
      <w:numFmt w:val="decimal"/>
      <w:lvlText w:val="%1."/>
      <w:lvlJc w:val="left"/>
      <w:pPr>
        <w:ind w:left="585" w:hanging="585"/>
      </w:pPr>
      <w:rPr>
        <w:rFonts w:hint="default"/>
        <w:b/>
      </w:rPr>
    </w:lvl>
    <w:lvl w:ilvl="1">
      <w:start w:val="3"/>
      <w:numFmt w:val="decimal"/>
      <w:lvlText w:val="%1.%2."/>
      <w:lvlJc w:val="left"/>
      <w:pPr>
        <w:ind w:left="1251" w:hanging="720"/>
      </w:pPr>
      <w:rPr>
        <w:rFonts w:hint="default"/>
        <w:b/>
      </w:rPr>
    </w:lvl>
    <w:lvl w:ilvl="2">
      <w:start w:val="2"/>
      <w:numFmt w:val="decimal"/>
      <w:lvlText w:val="%1.%2.%3."/>
      <w:lvlJc w:val="left"/>
      <w:pPr>
        <w:ind w:left="2280" w:hanging="720"/>
      </w:pPr>
      <w:rPr>
        <w:rFonts w:hint="default"/>
        <w:b/>
      </w:rPr>
    </w:lvl>
    <w:lvl w:ilvl="3">
      <w:start w:val="1"/>
      <w:numFmt w:val="decimal"/>
      <w:lvlText w:val="%1.%2.%3.%4."/>
      <w:lvlJc w:val="left"/>
      <w:pPr>
        <w:ind w:left="2673" w:hanging="1080"/>
      </w:pPr>
      <w:rPr>
        <w:rFonts w:hint="default"/>
        <w:b/>
      </w:rPr>
    </w:lvl>
    <w:lvl w:ilvl="4">
      <w:start w:val="1"/>
      <w:numFmt w:val="decimal"/>
      <w:lvlText w:val="%1.%2.%3.%4.%5."/>
      <w:lvlJc w:val="left"/>
      <w:pPr>
        <w:ind w:left="3204" w:hanging="1080"/>
      </w:pPr>
      <w:rPr>
        <w:rFonts w:hint="default"/>
        <w:b/>
      </w:rPr>
    </w:lvl>
    <w:lvl w:ilvl="5">
      <w:start w:val="1"/>
      <w:numFmt w:val="decimal"/>
      <w:lvlText w:val="%1.%2.%3.%4.%5.%6."/>
      <w:lvlJc w:val="left"/>
      <w:pPr>
        <w:ind w:left="4095" w:hanging="1440"/>
      </w:pPr>
      <w:rPr>
        <w:rFonts w:hint="default"/>
        <w:b/>
      </w:rPr>
    </w:lvl>
    <w:lvl w:ilvl="6">
      <w:start w:val="1"/>
      <w:numFmt w:val="decimal"/>
      <w:lvlText w:val="%1.%2.%3.%4.%5.%6.%7."/>
      <w:lvlJc w:val="left"/>
      <w:pPr>
        <w:ind w:left="4626" w:hanging="1440"/>
      </w:pPr>
      <w:rPr>
        <w:rFonts w:hint="default"/>
        <w:b/>
      </w:rPr>
    </w:lvl>
    <w:lvl w:ilvl="7">
      <w:start w:val="1"/>
      <w:numFmt w:val="decimal"/>
      <w:lvlText w:val="%1.%2.%3.%4.%5.%6.%7.%8."/>
      <w:lvlJc w:val="left"/>
      <w:pPr>
        <w:ind w:left="5517" w:hanging="1800"/>
      </w:pPr>
      <w:rPr>
        <w:rFonts w:hint="default"/>
        <w:b/>
      </w:rPr>
    </w:lvl>
    <w:lvl w:ilvl="8">
      <w:start w:val="1"/>
      <w:numFmt w:val="decimal"/>
      <w:lvlText w:val="%1.%2.%3.%4.%5.%6.%7.%8.%9."/>
      <w:lvlJc w:val="left"/>
      <w:pPr>
        <w:ind w:left="6408" w:hanging="2160"/>
      </w:pPr>
      <w:rPr>
        <w:rFonts w:hint="default"/>
        <w:b/>
      </w:rPr>
    </w:lvl>
  </w:abstractNum>
  <w:abstractNum w:abstractNumId="25">
    <w:nsid w:val="629C42B4"/>
    <w:multiLevelType w:val="hybridMultilevel"/>
    <w:tmpl w:val="6B4497F2"/>
    <w:lvl w:ilvl="0" w:tplc="588A265E">
      <w:start w:val="3"/>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6">
    <w:nsid w:val="6AA50F6B"/>
    <w:multiLevelType w:val="hybridMultilevel"/>
    <w:tmpl w:val="1B04CC7E"/>
    <w:lvl w:ilvl="0" w:tplc="A7526DEA">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7">
    <w:nsid w:val="6E6A17CB"/>
    <w:multiLevelType w:val="hybridMultilevel"/>
    <w:tmpl w:val="9BB02408"/>
    <w:lvl w:ilvl="0" w:tplc="E6B6859E">
      <w:start w:val="1"/>
      <w:numFmt w:val="bullet"/>
      <w:lvlText w:val="-"/>
      <w:lvlJc w:val="left"/>
      <w:pPr>
        <w:ind w:left="1065" w:hanging="360"/>
      </w:pPr>
      <w:rPr>
        <w:rFonts w:ascii="Times New Roman" w:eastAsiaTheme="minorHAnsi"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8">
    <w:nsid w:val="78815174"/>
    <w:multiLevelType w:val="multilevel"/>
    <w:tmpl w:val="1A64BEBE"/>
    <w:lvl w:ilvl="0">
      <w:start w:val="5"/>
      <w:numFmt w:val="decimal"/>
      <w:lvlText w:val="%1."/>
      <w:lvlJc w:val="left"/>
      <w:pPr>
        <w:ind w:left="360" w:hanging="360"/>
      </w:pPr>
      <w:rPr>
        <w:rFonts w:hint="default"/>
      </w:rPr>
    </w:lvl>
    <w:lvl w:ilvl="1">
      <w:start w:val="2"/>
      <w:numFmt w:val="decimal"/>
      <w:lvlText w:val="%1.%2."/>
      <w:lvlJc w:val="left"/>
      <w:pPr>
        <w:ind w:left="1070" w:hanging="360"/>
      </w:pPr>
      <w:rPr>
        <w:rFonts w:ascii="Arial" w:hAnsi="Arial" w:cs="Arial"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nsid w:val="7DB3063A"/>
    <w:multiLevelType w:val="multilevel"/>
    <w:tmpl w:val="3EEA1D3E"/>
    <w:lvl w:ilvl="0">
      <w:start w:val="3"/>
      <w:numFmt w:val="decimal"/>
      <w:lvlText w:val="%1."/>
      <w:lvlJc w:val="left"/>
      <w:pPr>
        <w:ind w:left="585" w:hanging="585"/>
      </w:pPr>
      <w:rPr>
        <w:rFonts w:hint="default"/>
        <w:b/>
      </w:rPr>
    </w:lvl>
    <w:lvl w:ilvl="1">
      <w:start w:val="4"/>
      <w:numFmt w:val="decimal"/>
      <w:lvlText w:val="%1.%2."/>
      <w:lvlJc w:val="left"/>
      <w:pPr>
        <w:ind w:left="1251" w:hanging="720"/>
      </w:pPr>
      <w:rPr>
        <w:rFonts w:hint="default"/>
        <w:b/>
      </w:rPr>
    </w:lvl>
    <w:lvl w:ilvl="2">
      <w:start w:val="2"/>
      <w:numFmt w:val="decimal"/>
      <w:lvlText w:val="%1.%2.%3."/>
      <w:lvlJc w:val="left"/>
      <w:pPr>
        <w:ind w:left="1782" w:hanging="720"/>
      </w:pPr>
      <w:rPr>
        <w:rFonts w:hint="default"/>
        <w:b/>
      </w:rPr>
    </w:lvl>
    <w:lvl w:ilvl="3">
      <w:start w:val="1"/>
      <w:numFmt w:val="decimal"/>
      <w:lvlText w:val="%1.%2.%3.%4."/>
      <w:lvlJc w:val="left"/>
      <w:pPr>
        <w:ind w:left="2673" w:hanging="1080"/>
      </w:pPr>
      <w:rPr>
        <w:rFonts w:hint="default"/>
        <w:b/>
      </w:rPr>
    </w:lvl>
    <w:lvl w:ilvl="4">
      <w:start w:val="1"/>
      <w:numFmt w:val="decimal"/>
      <w:lvlText w:val="%1.%2.%3.%4.%5."/>
      <w:lvlJc w:val="left"/>
      <w:pPr>
        <w:ind w:left="3204" w:hanging="1080"/>
      </w:pPr>
      <w:rPr>
        <w:rFonts w:hint="default"/>
        <w:b/>
      </w:rPr>
    </w:lvl>
    <w:lvl w:ilvl="5">
      <w:start w:val="1"/>
      <w:numFmt w:val="decimal"/>
      <w:lvlText w:val="%1.%2.%3.%4.%5.%6."/>
      <w:lvlJc w:val="left"/>
      <w:pPr>
        <w:ind w:left="4095" w:hanging="1440"/>
      </w:pPr>
      <w:rPr>
        <w:rFonts w:hint="default"/>
        <w:b/>
      </w:rPr>
    </w:lvl>
    <w:lvl w:ilvl="6">
      <w:start w:val="1"/>
      <w:numFmt w:val="decimal"/>
      <w:lvlText w:val="%1.%2.%3.%4.%5.%6.%7."/>
      <w:lvlJc w:val="left"/>
      <w:pPr>
        <w:ind w:left="4626" w:hanging="1440"/>
      </w:pPr>
      <w:rPr>
        <w:rFonts w:hint="default"/>
        <w:b/>
      </w:rPr>
    </w:lvl>
    <w:lvl w:ilvl="7">
      <w:start w:val="1"/>
      <w:numFmt w:val="decimal"/>
      <w:lvlText w:val="%1.%2.%3.%4.%5.%6.%7.%8."/>
      <w:lvlJc w:val="left"/>
      <w:pPr>
        <w:ind w:left="5517" w:hanging="1800"/>
      </w:pPr>
      <w:rPr>
        <w:rFonts w:hint="default"/>
        <w:b/>
      </w:rPr>
    </w:lvl>
    <w:lvl w:ilvl="8">
      <w:start w:val="1"/>
      <w:numFmt w:val="decimal"/>
      <w:lvlText w:val="%1.%2.%3.%4.%5.%6.%7.%8.%9."/>
      <w:lvlJc w:val="left"/>
      <w:pPr>
        <w:ind w:left="6408" w:hanging="2160"/>
      </w:pPr>
      <w:rPr>
        <w:rFonts w:hint="default"/>
        <w:b/>
      </w:rPr>
    </w:lvl>
  </w:abstractNum>
  <w:num w:numId="1">
    <w:abstractNumId w:val="9"/>
  </w:num>
  <w:num w:numId="2">
    <w:abstractNumId w:val="27"/>
  </w:num>
  <w:num w:numId="3">
    <w:abstractNumId w:val="16"/>
  </w:num>
  <w:num w:numId="4">
    <w:abstractNumId w:val="10"/>
  </w:num>
  <w:num w:numId="5">
    <w:abstractNumId w:val="22"/>
  </w:num>
  <w:num w:numId="6">
    <w:abstractNumId w:val="25"/>
  </w:num>
  <w:num w:numId="7">
    <w:abstractNumId w:val="21"/>
  </w:num>
  <w:num w:numId="8">
    <w:abstractNumId w:val="20"/>
  </w:num>
  <w:num w:numId="9">
    <w:abstractNumId w:val="11"/>
  </w:num>
  <w:num w:numId="10">
    <w:abstractNumId w:val="26"/>
  </w:num>
  <w:num w:numId="11">
    <w:abstractNumId w:val="13"/>
  </w:num>
  <w:num w:numId="12">
    <w:abstractNumId w:val="7"/>
  </w:num>
  <w:num w:numId="13">
    <w:abstractNumId w:val="3"/>
  </w:num>
  <w:num w:numId="14">
    <w:abstractNumId w:val="5"/>
  </w:num>
  <w:num w:numId="15">
    <w:abstractNumId w:val="17"/>
  </w:num>
  <w:num w:numId="16">
    <w:abstractNumId w:val="14"/>
  </w:num>
  <w:num w:numId="17">
    <w:abstractNumId w:val="28"/>
  </w:num>
  <w:num w:numId="18">
    <w:abstractNumId w:val="4"/>
  </w:num>
  <w:num w:numId="19">
    <w:abstractNumId w:val="12"/>
  </w:num>
  <w:num w:numId="20">
    <w:abstractNumId w:val="0"/>
  </w:num>
  <w:num w:numId="21">
    <w:abstractNumId w:val="19"/>
  </w:num>
  <w:num w:numId="22">
    <w:abstractNumId w:val="15"/>
  </w:num>
  <w:num w:numId="23">
    <w:abstractNumId w:val="23"/>
  </w:num>
  <w:num w:numId="24">
    <w:abstractNumId w:val="29"/>
  </w:num>
  <w:num w:numId="25">
    <w:abstractNumId w:val="18"/>
  </w:num>
  <w:num w:numId="26">
    <w:abstractNumId w:val="6"/>
  </w:num>
  <w:num w:numId="27">
    <w:abstractNumId w:val="24"/>
  </w:num>
  <w:num w:numId="28">
    <w:abstractNumId w:val="8"/>
  </w:num>
  <w:num w:numId="29">
    <w:abstractNumId w:val="1"/>
  </w:num>
  <w:num w:numId="30">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AAA"/>
    <w:rsid w:val="000028DD"/>
    <w:rsid w:val="00004CF0"/>
    <w:rsid w:val="00004FAD"/>
    <w:rsid w:val="000061C8"/>
    <w:rsid w:val="00010C85"/>
    <w:rsid w:val="00011A25"/>
    <w:rsid w:val="00016CD5"/>
    <w:rsid w:val="00023037"/>
    <w:rsid w:val="000235DD"/>
    <w:rsid w:val="00023611"/>
    <w:rsid w:val="00024292"/>
    <w:rsid w:val="000258FF"/>
    <w:rsid w:val="00027EDE"/>
    <w:rsid w:val="000314CF"/>
    <w:rsid w:val="000342AE"/>
    <w:rsid w:val="000369AD"/>
    <w:rsid w:val="000400B3"/>
    <w:rsid w:val="00040788"/>
    <w:rsid w:val="0004203C"/>
    <w:rsid w:val="000426AB"/>
    <w:rsid w:val="00047B9F"/>
    <w:rsid w:val="000503B3"/>
    <w:rsid w:val="000505FC"/>
    <w:rsid w:val="00050983"/>
    <w:rsid w:val="00052655"/>
    <w:rsid w:val="000537DA"/>
    <w:rsid w:val="00054BD5"/>
    <w:rsid w:val="00057512"/>
    <w:rsid w:val="00060926"/>
    <w:rsid w:val="00061052"/>
    <w:rsid w:val="00061B12"/>
    <w:rsid w:val="00063173"/>
    <w:rsid w:val="00064639"/>
    <w:rsid w:val="00064647"/>
    <w:rsid w:val="00065A66"/>
    <w:rsid w:val="00070516"/>
    <w:rsid w:val="00070F5D"/>
    <w:rsid w:val="00071634"/>
    <w:rsid w:val="00072599"/>
    <w:rsid w:val="000752CB"/>
    <w:rsid w:val="000758B7"/>
    <w:rsid w:val="00081010"/>
    <w:rsid w:val="000823A2"/>
    <w:rsid w:val="00084220"/>
    <w:rsid w:val="00084C72"/>
    <w:rsid w:val="00084DC2"/>
    <w:rsid w:val="00086220"/>
    <w:rsid w:val="000878B0"/>
    <w:rsid w:val="000909B6"/>
    <w:rsid w:val="00092651"/>
    <w:rsid w:val="00092CC4"/>
    <w:rsid w:val="00093D2A"/>
    <w:rsid w:val="0009476F"/>
    <w:rsid w:val="0009508E"/>
    <w:rsid w:val="000A0954"/>
    <w:rsid w:val="000A1BDE"/>
    <w:rsid w:val="000A2533"/>
    <w:rsid w:val="000A5197"/>
    <w:rsid w:val="000A6239"/>
    <w:rsid w:val="000A69FC"/>
    <w:rsid w:val="000B3427"/>
    <w:rsid w:val="000C004B"/>
    <w:rsid w:val="000C08A4"/>
    <w:rsid w:val="000C0D52"/>
    <w:rsid w:val="000C1DAB"/>
    <w:rsid w:val="000C31F0"/>
    <w:rsid w:val="000C3542"/>
    <w:rsid w:val="000C3D12"/>
    <w:rsid w:val="000C44CE"/>
    <w:rsid w:val="000C6A6C"/>
    <w:rsid w:val="000C7619"/>
    <w:rsid w:val="000C765B"/>
    <w:rsid w:val="000D038B"/>
    <w:rsid w:val="000D165A"/>
    <w:rsid w:val="000D253F"/>
    <w:rsid w:val="000D4CEC"/>
    <w:rsid w:val="000D554E"/>
    <w:rsid w:val="000D63DA"/>
    <w:rsid w:val="000D795B"/>
    <w:rsid w:val="000E317B"/>
    <w:rsid w:val="000E544F"/>
    <w:rsid w:val="000E5940"/>
    <w:rsid w:val="000E6986"/>
    <w:rsid w:val="000E6A87"/>
    <w:rsid w:val="000F20E6"/>
    <w:rsid w:val="000F24DA"/>
    <w:rsid w:val="000F28CA"/>
    <w:rsid w:val="000F2D6F"/>
    <w:rsid w:val="000F371F"/>
    <w:rsid w:val="000F4408"/>
    <w:rsid w:val="000F6E93"/>
    <w:rsid w:val="000F7264"/>
    <w:rsid w:val="00101BA5"/>
    <w:rsid w:val="00104026"/>
    <w:rsid w:val="00106750"/>
    <w:rsid w:val="001109F0"/>
    <w:rsid w:val="00113E4F"/>
    <w:rsid w:val="00116473"/>
    <w:rsid w:val="00117345"/>
    <w:rsid w:val="001240B1"/>
    <w:rsid w:val="00126905"/>
    <w:rsid w:val="0013064C"/>
    <w:rsid w:val="00131DE7"/>
    <w:rsid w:val="00133628"/>
    <w:rsid w:val="00133676"/>
    <w:rsid w:val="00134243"/>
    <w:rsid w:val="001351F5"/>
    <w:rsid w:val="001357DB"/>
    <w:rsid w:val="00136CEE"/>
    <w:rsid w:val="00143499"/>
    <w:rsid w:val="00147595"/>
    <w:rsid w:val="001577C6"/>
    <w:rsid w:val="00160619"/>
    <w:rsid w:val="00160B91"/>
    <w:rsid w:val="00161D9C"/>
    <w:rsid w:val="00164600"/>
    <w:rsid w:val="00174B2D"/>
    <w:rsid w:val="00176F8B"/>
    <w:rsid w:val="0018230D"/>
    <w:rsid w:val="00184778"/>
    <w:rsid w:val="001849CE"/>
    <w:rsid w:val="00190BC2"/>
    <w:rsid w:val="00190D1C"/>
    <w:rsid w:val="00190EC9"/>
    <w:rsid w:val="00193D24"/>
    <w:rsid w:val="001941F7"/>
    <w:rsid w:val="001A074C"/>
    <w:rsid w:val="001A2AEB"/>
    <w:rsid w:val="001A3F85"/>
    <w:rsid w:val="001A3FE2"/>
    <w:rsid w:val="001A4B12"/>
    <w:rsid w:val="001A7372"/>
    <w:rsid w:val="001A73A5"/>
    <w:rsid w:val="001B0334"/>
    <w:rsid w:val="001B1F13"/>
    <w:rsid w:val="001B3D1A"/>
    <w:rsid w:val="001B6091"/>
    <w:rsid w:val="001B69FD"/>
    <w:rsid w:val="001B7C9D"/>
    <w:rsid w:val="001C072E"/>
    <w:rsid w:val="001C1AD2"/>
    <w:rsid w:val="001C3753"/>
    <w:rsid w:val="001C3775"/>
    <w:rsid w:val="001C4768"/>
    <w:rsid w:val="001C7B49"/>
    <w:rsid w:val="001D064E"/>
    <w:rsid w:val="001D12A1"/>
    <w:rsid w:val="001D18C2"/>
    <w:rsid w:val="001D569F"/>
    <w:rsid w:val="001D5B86"/>
    <w:rsid w:val="001D633E"/>
    <w:rsid w:val="001E14BD"/>
    <w:rsid w:val="001E55E7"/>
    <w:rsid w:val="001E615A"/>
    <w:rsid w:val="001E6FAF"/>
    <w:rsid w:val="001E7DE3"/>
    <w:rsid w:val="001F4F10"/>
    <w:rsid w:val="001F72BA"/>
    <w:rsid w:val="002022AC"/>
    <w:rsid w:val="00205543"/>
    <w:rsid w:val="00205F16"/>
    <w:rsid w:val="00211A36"/>
    <w:rsid w:val="00220F3C"/>
    <w:rsid w:val="00222CA1"/>
    <w:rsid w:val="00224A2C"/>
    <w:rsid w:val="002251E0"/>
    <w:rsid w:val="00227036"/>
    <w:rsid w:val="0023008D"/>
    <w:rsid w:val="002355EC"/>
    <w:rsid w:val="00237016"/>
    <w:rsid w:val="00237519"/>
    <w:rsid w:val="00237BAD"/>
    <w:rsid w:val="002444B8"/>
    <w:rsid w:val="00244EE4"/>
    <w:rsid w:val="0024588B"/>
    <w:rsid w:val="00245A86"/>
    <w:rsid w:val="00245EC1"/>
    <w:rsid w:val="00247860"/>
    <w:rsid w:val="00247A97"/>
    <w:rsid w:val="00251489"/>
    <w:rsid w:val="00251750"/>
    <w:rsid w:val="00252525"/>
    <w:rsid w:val="00252AB4"/>
    <w:rsid w:val="002537A8"/>
    <w:rsid w:val="0025651C"/>
    <w:rsid w:val="002578C5"/>
    <w:rsid w:val="00257D75"/>
    <w:rsid w:val="00260534"/>
    <w:rsid w:val="002618A5"/>
    <w:rsid w:val="00261FFA"/>
    <w:rsid w:val="00262320"/>
    <w:rsid w:val="002628C2"/>
    <w:rsid w:val="00262AEE"/>
    <w:rsid w:val="00263E00"/>
    <w:rsid w:val="002648CB"/>
    <w:rsid w:val="00265E72"/>
    <w:rsid w:val="002669DD"/>
    <w:rsid w:val="002700B9"/>
    <w:rsid w:val="0027244F"/>
    <w:rsid w:val="00273570"/>
    <w:rsid w:val="00275784"/>
    <w:rsid w:val="00277315"/>
    <w:rsid w:val="00277B55"/>
    <w:rsid w:val="002816B5"/>
    <w:rsid w:val="00281F1F"/>
    <w:rsid w:val="00281FC4"/>
    <w:rsid w:val="00283C2A"/>
    <w:rsid w:val="00292160"/>
    <w:rsid w:val="002973CA"/>
    <w:rsid w:val="002A05B0"/>
    <w:rsid w:val="002A1391"/>
    <w:rsid w:val="002A5F73"/>
    <w:rsid w:val="002A6204"/>
    <w:rsid w:val="002A64FF"/>
    <w:rsid w:val="002B1F41"/>
    <w:rsid w:val="002B62A8"/>
    <w:rsid w:val="002B6F15"/>
    <w:rsid w:val="002B7AF3"/>
    <w:rsid w:val="002C4707"/>
    <w:rsid w:val="002C794A"/>
    <w:rsid w:val="002C7D44"/>
    <w:rsid w:val="002D17A4"/>
    <w:rsid w:val="002D2B26"/>
    <w:rsid w:val="002D3E8D"/>
    <w:rsid w:val="002D43FE"/>
    <w:rsid w:val="002D5DD0"/>
    <w:rsid w:val="002D5EA6"/>
    <w:rsid w:val="002D5EB6"/>
    <w:rsid w:val="002D6048"/>
    <w:rsid w:val="002E0095"/>
    <w:rsid w:val="002E0621"/>
    <w:rsid w:val="002E3791"/>
    <w:rsid w:val="002E39E0"/>
    <w:rsid w:val="002E4857"/>
    <w:rsid w:val="002F1251"/>
    <w:rsid w:val="002F305A"/>
    <w:rsid w:val="002F4EB1"/>
    <w:rsid w:val="0030066C"/>
    <w:rsid w:val="00300FB1"/>
    <w:rsid w:val="003028A2"/>
    <w:rsid w:val="00304501"/>
    <w:rsid w:val="00304A16"/>
    <w:rsid w:val="00304FF9"/>
    <w:rsid w:val="003051E9"/>
    <w:rsid w:val="0031109B"/>
    <w:rsid w:val="003119CA"/>
    <w:rsid w:val="00311D6E"/>
    <w:rsid w:val="0031325B"/>
    <w:rsid w:val="0031459B"/>
    <w:rsid w:val="00314A22"/>
    <w:rsid w:val="003225E4"/>
    <w:rsid w:val="0032427D"/>
    <w:rsid w:val="00324EB7"/>
    <w:rsid w:val="00330953"/>
    <w:rsid w:val="0033174B"/>
    <w:rsid w:val="00331BD9"/>
    <w:rsid w:val="00333004"/>
    <w:rsid w:val="003341A7"/>
    <w:rsid w:val="00336EC2"/>
    <w:rsid w:val="0034255F"/>
    <w:rsid w:val="00344535"/>
    <w:rsid w:val="00347537"/>
    <w:rsid w:val="00352420"/>
    <w:rsid w:val="00353E30"/>
    <w:rsid w:val="00354058"/>
    <w:rsid w:val="003562BF"/>
    <w:rsid w:val="003603F4"/>
    <w:rsid w:val="00360409"/>
    <w:rsid w:val="003613EC"/>
    <w:rsid w:val="00363CDB"/>
    <w:rsid w:val="00370A8C"/>
    <w:rsid w:val="00372F6F"/>
    <w:rsid w:val="00377029"/>
    <w:rsid w:val="00380032"/>
    <w:rsid w:val="0038004A"/>
    <w:rsid w:val="00380A86"/>
    <w:rsid w:val="00381DD6"/>
    <w:rsid w:val="00382415"/>
    <w:rsid w:val="0038320E"/>
    <w:rsid w:val="00383BF2"/>
    <w:rsid w:val="00385931"/>
    <w:rsid w:val="003921C3"/>
    <w:rsid w:val="00394575"/>
    <w:rsid w:val="0039642B"/>
    <w:rsid w:val="0039688B"/>
    <w:rsid w:val="003979E8"/>
    <w:rsid w:val="003A0663"/>
    <w:rsid w:val="003A071F"/>
    <w:rsid w:val="003A1F6E"/>
    <w:rsid w:val="003A35B8"/>
    <w:rsid w:val="003A410E"/>
    <w:rsid w:val="003A6CC4"/>
    <w:rsid w:val="003B3853"/>
    <w:rsid w:val="003B5ABF"/>
    <w:rsid w:val="003C3751"/>
    <w:rsid w:val="003C3959"/>
    <w:rsid w:val="003C42CE"/>
    <w:rsid w:val="003C472E"/>
    <w:rsid w:val="003C49AF"/>
    <w:rsid w:val="003D09E1"/>
    <w:rsid w:val="003D3A88"/>
    <w:rsid w:val="003D4607"/>
    <w:rsid w:val="003D657A"/>
    <w:rsid w:val="003E078A"/>
    <w:rsid w:val="003E3394"/>
    <w:rsid w:val="003E46E3"/>
    <w:rsid w:val="003E4733"/>
    <w:rsid w:val="003E607D"/>
    <w:rsid w:val="003E6FD6"/>
    <w:rsid w:val="003E74D8"/>
    <w:rsid w:val="003F0D8B"/>
    <w:rsid w:val="003F135D"/>
    <w:rsid w:val="003F42A9"/>
    <w:rsid w:val="003F531E"/>
    <w:rsid w:val="003F57DE"/>
    <w:rsid w:val="003F6F8B"/>
    <w:rsid w:val="003F70C2"/>
    <w:rsid w:val="003F7F5B"/>
    <w:rsid w:val="004107A7"/>
    <w:rsid w:val="0041102A"/>
    <w:rsid w:val="0041214D"/>
    <w:rsid w:val="00413D1E"/>
    <w:rsid w:val="00413DA8"/>
    <w:rsid w:val="004178BF"/>
    <w:rsid w:val="00417AF0"/>
    <w:rsid w:val="00420EDD"/>
    <w:rsid w:val="00421150"/>
    <w:rsid w:val="004213EF"/>
    <w:rsid w:val="00422DA8"/>
    <w:rsid w:val="00424533"/>
    <w:rsid w:val="00425B87"/>
    <w:rsid w:val="00426238"/>
    <w:rsid w:val="004265FD"/>
    <w:rsid w:val="00427085"/>
    <w:rsid w:val="00427224"/>
    <w:rsid w:val="004326BF"/>
    <w:rsid w:val="00440104"/>
    <w:rsid w:val="00444D51"/>
    <w:rsid w:val="00446369"/>
    <w:rsid w:val="0044777F"/>
    <w:rsid w:val="00450B63"/>
    <w:rsid w:val="0045119B"/>
    <w:rsid w:val="0045562A"/>
    <w:rsid w:val="004568A4"/>
    <w:rsid w:val="004604B3"/>
    <w:rsid w:val="0046205A"/>
    <w:rsid w:val="004626A9"/>
    <w:rsid w:val="00464A76"/>
    <w:rsid w:val="004655EA"/>
    <w:rsid w:val="0047305C"/>
    <w:rsid w:val="0047545E"/>
    <w:rsid w:val="00476578"/>
    <w:rsid w:val="00480F59"/>
    <w:rsid w:val="004813E5"/>
    <w:rsid w:val="004824C6"/>
    <w:rsid w:val="00483F80"/>
    <w:rsid w:val="00484F95"/>
    <w:rsid w:val="00487DFC"/>
    <w:rsid w:val="00490F08"/>
    <w:rsid w:val="00491CEF"/>
    <w:rsid w:val="00493749"/>
    <w:rsid w:val="00494B44"/>
    <w:rsid w:val="00496E02"/>
    <w:rsid w:val="004A27CE"/>
    <w:rsid w:val="004A2820"/>
    <w:rsid w:val="004A5FC7"/>
    <w:rsid w:val="004B1B59"/>
    <w:rsid w:val="004B1F6D"/>
    <w:rsid w:val="004B260D"/>
    <w:rsid w:val="004B31E0"/>
    <w:rsid w:val="004B4A5E"/>
    <w:rsid w:val="004B7311"/>
    <w:rsid w:val="004B7578"/>
    <w:rsid w:val="004C05FF"/>
    <w:rsid w:val="004C28C4"/>
    <w:rsid w:val="004C29DA"/>
    <w:rsid w:val="004C3264"/>
    <w:rsid w:val="004C45CB"/>
    <w:rsid w:val="004C6D16"/>
    <w:rsid w:val="004C7649"/>
    <w:rsid w:val="004C7B54"/>
    <w:rsid w:val="004D1674"/>
    <w:rsid w:val="004D2525"/>
    <w:rsid w:val="004D6DF0"/>
    <w:rsid w:val="004E0F8C"/>
    <w:rsid w:val="004E1070"/>
    <w:rsid w:val="004E1CA1"/>
    <w:rsid w:val="004E3F02"/>
    <w:rsid w:val="004E50EF"/>
    <w:rsid w:val="004E7209"/>
    <w:rsid w:val="004E74F8"/>
    <w:rsid w:val="004F0C9B"/>
    <w:rsid w:val="004F1548"/>
    <w:rsid w:val="004F2372"/>
    <w:rsid w:val="004F3C7B"/>
    <w:rsid w:val="004F53DA"/>
    <w:rsid w:val="004F651F"/>
    <w:rsid w:val="004F79A1"/>
    <w:rsid w:val="004F7D1B"/>
    <w:rsid w:val="00500364"/>
    <w:rsid w:val="005004A4"/>
    <w:rsid w:val="00500B22"/>
    <w:rsid w:val="0050182F"/>
    <w:rsid w:val="0050388B"/>
    <w:rsid w:val="005064A1"/>
    <w:rsid w:val="00507A12"/>
    <w:rsid w:val="00510DF5"/>
    <w:rsid w:val="00516FF9"/>
    <w:rsid w:val="0052204B"/>
    <w:rsid w:val="00522186"/>
    <w:rsid w:val="0052364E"/>
    <w:rsid w:val="0052380C"/>
    <w:rsid w:val="00530D49"/>
    <w:rsid w:val="00532B9F"/>
    <w:rsid w:val="005418DE"/>
    <w:rsid w:val="00541F22"/>
    <w:rsid w:val="005461E6"/>
    <w:rsid w:val="00546312"/>
    <w:rsid w:val="00552F13"/>
    <w:rsid w:val="00552F2D"/>
    <w:rsid w:val="0055359F"/>
    <w:rsid w:val="0055374A"/>
    <w:rsid w:val="00555AEC"/>
    <w:rsid w:val="00556CDF"/>
    <w:rsid w:val="00560725"/>
    <w:rsid w:val="00563715"/>
    <w:rsid w:val="00564D3B"/>
    <w:rsid w:val="0056542B"/>
    <w:rsid w:val="00572002"/>
    <w:rsid w:val="0057327B"/>
    <w:rsid w:val="005735D8"/>
    <w:rsid w:val="00574B57"/>
    <w:rsid w:val="00575947"/>
    <w:rsid w:val="00575D8F"/>
    <w:rsid w:val="00576C5D"/>
    <w:rsid w:val="00577DBA"/>
    <w:rsid w:val="00581CE8"/>
    <w:rsid w:val="00582ABE"/>
    <w:rsid w:val="00587672"/>
    <w:rsid w:val="005920CF"/>
    <w:rsid w:val="005938B9"/>
    <w:rsid w:val="00594581"/>
    <w:rsid w:val="00594AC6"/>
    <w:rsid w:val="00595990"/>
    <w:rsid w:val="0059642C"/>
    <w:rsid w:val="00597071"/>
    <w:rsid w:val="005A00DC"/>
    <w:rsid w:val="005A35F9"/>
    <w:rsid w:val="005A6088"/>
    <w:rsid w:val="005A7DBE"/>
    <w:rsid w:val="005B3104"/>
    <w:rsid w:val="005B4265"/>
    <w:rsid w:val="005B79FB"/>
    <w:rsid w:val="005C2295"/>
    <w:rsid w:val="005C3334"/>
    <w:rsid w:val="005C4168"/>
    <w:rsid w:val="005C6FC1"/>
    <w:rsid w:val="005D11F9"/>
    <w:rsid w:val="005D2480"/>
    <w:rsid w:val="005D3315"/>
    <w:rsid w:val="005D3EFB"/>
    <w:rsid w:val="005D57CC"/>
    <w:rsid w:val="005E0D10"/>
    <w:rsid w:val="005E1F2D"/>
    <w:rsid w:val="005F1E9E"/>
    <w:rsid w:val="005F462D"/>
    <w:rsid w:val="005F4DFD"/>
    <w:rsid w:val="005F552D"/>
    <w:rsid w:val="005F5667"/>
    <w:rsid w:val="005F637C"/>
    <w:rsid w:val="005F7868"/>
    <w:rsid w:val="00601752"/>
    <w:rsid w:val="0060565E"/>
    <w:rsid w:val="00605DB0"/>
    <w:rsid w:val="006064CF"/>
    <w:rsid w:val="00610086"/>
    <w:rsid w:val="00611B12"/>
    <w:rsid w:val="0061236D"/>
    <w:rsid w:val="00612849"/>
    <w:rsid w:val="00613815"/>
    <w:rsid w:val="00615CC7"/>
    <w:rsid w:val="00616FAB"/>
    <w:rsid w:val="0061754C"/>
    <w:rsid w:val="00617823"/>
    <w:rsid w:val="00621B2F"/>
    <w:rsid w:val="006244E4"/>
    <w:rsid w:val="0062700F"/>
    <w:rsid w:val="006277A1"/>
    <w:rsid w:val="00631AB2"/>
    <w:rsid w:val="0063429F"/>
    <w:rsid w:val="006357C7"/>
    <w:rsid w:val="00635ECF"/>
    <w:rsid w:val="00640882"/>
    <w:rsid w:val="006472AF"/>
    <w:rsid w:val="00650ABB"/>
    <w:rsid w:val="00650F20"/>
    <w:rsid w:val="006522B9"/>
    <w:rsid w:val="00653471"/>
    <w:rsid w:val="00653667"/>
    <w:rsid w:val="006554DF"/>
    <w:rsid w:val="00655CE4"/>
    <w:rsid w:val="006564EE"/>
    <w:rsid w:val="00657924"/>
    <w:rsid w:val="0066206F"/>
    <w:rsid w:val="006628CD"/>
    <w:rsid w:val="006662DB"/>
    <w:rsid w:val="006669AE"/>
    <w:rsid w:val="006674D6"/>
    <w:rsid w:val="00671818"/>
    <w:rsid w:val="006727A5"/>
    <w:rsid w:val="006742DA"/>
    <w:rsid w:val="00674AFE"/>
    <w:rsid w:val="00675150"/>
    <w:rsid w:val="00676BB1"/>
    <w:rsid w:val="006802BE"/>
    <w:rsid w:val="00680C42"/>
    <w:rsid w:val="006819CC"/>
    <w:rsid w:val="00682A5A"/>
    <w:rsid w:val="00685F38"/>
    <w:rsid w:val="00687BDE"/>
    <w:rsid w:val="00692BDD"/>
    <w:rsid w:val="006931B6"/>
    <w:rsid w:val="006940E4"/>
    <w:rsid w:val="00696968"/>
    <w:rsid w:val="00697A51"/>
    <w:rsid w:val="006A07D0"/>
    <w:rsid w:val="006A224C"/>
    <w:rsid w:val="006A6C43"/>
    <w:rsid w:val="006B0FAA"/>
    <w:rsid w:val="006B19D6"/>
    <w:rsid w:val="006B340E"/>
    <w:rsid w:val="006B559D"/>
    <w:rsid w:val="006B5F12"/>
    <w:rsid w:val="006B6363"/>
    <w:rsid w:val="006C1F6E"/>
    <w:rsid w:val="006C1FA2"/>
    <w:rsid w:val="006C3510"/>
    <w:rsid w:val="006C3C1E"/>
    <w:rsid w:val="006C6F5B"/>
    <w:rsid w:val="006C7018"/>
    <w:rsid w:val="006D1D8C"/>
    <w:rsid w:val="006E1134"/>
    <w:rsid w:val="006E178B"/>
    <w:rsid w:val="006E1D68"/>
    <w:rsid w:val="006E2627"/>
    <w:rsid w:val="006E39A7"/>
    <w:rsid w:val="006E4A2D"/>
    <w:rsid w:val="006F2B2E"/>
    <w:rsid w:val="006F56B6"/>
    <w:rsid w:val="006F6C36"/>
    <w:rsid w:val="006F6DA5"/>
    <w:rsid w:val="0071026B"/>
    <w:rsid w:val="00712200"/>
    <w:rsid w:val="00714A7E"/>
    <w:rsid w:val="00715233"/>
    <w:rsid w:val="00715B49"/>
    <w:rsid w:val="0071658D"/>
    <w:rsid w:val="007177EC"/>
    <w:rsid w:val="00717D49"/>
    <w:rsid w:val="0072077E"/>
    <w:rsid w:val="007213BD"/>
    <w:rsid w:val="00723744"/>
    <w:rsid w:val="00726C25"/>
    <w:rsid w:val="007315FD"/>
    <w:rsid w:val="007340F3"/>
    <w:rsid w:val="0073578F"/>
    <w:rsid w:val="00736540"/>
    <w:rsid w:val="00743AAB"/>
    <w:rsid w:val="007441A1"/>
    <w:rsid w:val="00747947"/>
    <w:rsid w:val="007522AB"/>
    <w:rsid w:val="007536B6"/>
    <w:rsid w:val="00756E7E"/>
    <w:rsid w:val="00756FDF"/>
    <w:rsid w:val="00757504"/>
    <w:rsid w:val="0076075D"/>
    <w:rsid w:val="00761971"/>
    <w:rsid w:val="007622CB"/>
    <w:rsid w:val="00763DB4"/>
    <w:rsid w:val="0076416A"/>
    <w:rsid w:val="00764E47"/>
    <w:rsid w:val="0076581C"/>
    <w:rsid w:val="00765E20"/>
    <w:rsid w:val="00766F89"/>
    <w:rsid w:val="00770E0E"/>
    <w:rsid w:val="00772605"/>
    <w:rsid w:val="007727FC"/>
    <w:rsid w:val="007729B6"/>
    <w:rsid w:val="00772E30"/>
    <w:rsid w:val="007743A3"/>
    <w:rsid w:val="00776074"/>
    <w:rsid w:val="00776A75"/>
    <w:rsid w:val="00780D95"/>
    <w:rsid w:val="00780EF9"/>
    <w:rsid w:val="00781B11"/>
    <w:rsid w:val="00781D12"/>
    <w:rsid w:val="007824E1"/>
    <w:rsid w:val="007835AB"/>
    <w:rsid w:val="007849C0"/>
    <w:rsid w:val="0078517A"/>
    <w:rsid w:val="007874FF"/>
    <w:rsid w:val="0078776D"/>
    <w:rsid w:val="00791DBC"/>
    <w:rsid w:val="0079417C"/>
    <w:rsid w:val="00795378"/>
    <w:rsid w:val="00796074"/>
    <w:rsid w:val="007A0B79"/>
    <w:rsid w:val="007A1418"/>
    <w:rsid w:val="007A1CDC"/>
    <w:rsid w:val="007A2B06"/>
    <w:rsid w:val="007A689D"/>
    <w:rsid w:val="007B09B1"/>
    <w:rsid w:val="007B1881"/>
    <w:rsid w:val="007C06AD"/>
    <w:rsid w:val="007C2023"/>
    <w:rsid w:val="007C3743"/>
    <w:rsid w:val="007C4225"/>
    <w:rsid w:val="007C48C8"/>
    <w:rsid w:val="007C6CC5"/>
    <w:rsid w:val="007D0A26"/>
    <w:rsid w:val="007D2C1B"/>
    <w:rsid w:val="007D52E2"/>
    <w:rsid w:val="007D58A6"/>
    <w:rsid w:val="007D6DB9"/>
    <w:rsid w:val="007E1E9E"/>
    <w:rsid w:val="007E55FF"/>
    <w:rsid w:val="007E58B4"/>
    <w:rsid w:val="007E6433"/>
    <w:rsid w:val="007E68B4"/>
    <w:rsid w:val="007E7264"/>
    <w:rsid w:val="007E76E2"/>
    <w:rsid w:val="007E7CEC"/>
    <w:rsid w:val="007F0334"/>
    <w:rsid w:val="007F06FC"/>
    <w:rsid w:val="007F0CB6"/>
    <w:rsid w:val="007F0F42"/>
    <w:rsid w:val="007F1DD9"/>
    <w:rsid w:val="007F3304"/>
    <w:rsid w:val="007F375E"/>
    <w:rsid w:val="007F4591"/>
    <w:rsid w:val="007F7B73"/>
    <w:rsid w:val="00804A6A"/>
    <w:rsid w:val="00804CC7"/>
    <w:rsid w:val="00807271"/>
    <w:rsid w:val="00811471"/>
    <w:rsid w:val="0081688A"/>
    <w:rsid w:val="00816D6E"/>
    <w:rsid w:val="00822121"/>
    <w:rsid w:val="008229E6"/>
    <w:rsid w:val="008240A0"/>
    <w:rsid w:val="008247A2"/>
    <w:rsid w:val="00824EBD"/>
    <w:rsid w:val="0082771D"/>
    <w:rsid w:val="00830315"/>
    <w:rsid w:val="00831383"/>
    <w:rsid w:val="0083712E"/>
    <w:rsid w:val="0083747A"/>
    <w:rsid w:val="00841382"/>
    <w:rsid w:val="00841A82"/>
    <w:rsid w:val="00843057"/>
    <w:rsid w:val="00844736"/>
    <w:rsid w:val="00844E05"/>
    <w:rsid w:val="0084611C"/>
    <w:rsid w:val="00847609"/>
    <w:rsid w:val="00852672"/>
    <w:rsid w:val="00853457"/>
    <w:rsid w:val="00853B88"/>
    <w:rsid w:val="00857CC3"/>
    <w:rsid w:val="00862F69"/>
    <w:rsid w:val="008639FD"/>
    <w:rsid w:val="008641A9"/>
    <w:rsid w:val="00864932"/>
    <w:rsid w:val="00864F4B"/>
    <w:rsid w:val="0086559D"/>
    <w:rsid w:val="0086580C"/>
    <w:rsid w:val="008664BC"/>
    <w:rsid w:val="00867551"/>
    <w:rsid w:val="00871BF7"/>
    <w:rsid w:val="00871D91"/>
    <w:rsid w:val="00872227"/>
    <w:rsid w:val="008725E3"/>
    <w:rsid w:val="0087330C"/>
    <w:rsid w:val="00873656"/>
    <w:rsid w:val="00875859"/>
    <w:rsid w:val="00876B8C"/>
    <w:rsid w:val="008778B7"/>
    <w:rsid w:val="00877F14"/>
    <w:rsid w:val="00881D38"/>
    <w:rsid w:val="00882EF8"/>
    <w:rsid w:val="008847EC"/>
    <w:rsid w:val="00884810"/>
    <w:rsid w:val="0089063B"/>
    <w:rsid w:val="008910BC"/>
    <w:rsid w:val="00893F5A"/>
    <w:rsid w:val="00894D0A"/>
    <w:rsid w:val="00895478"/>
    <w:rsid w:val="008957B5"/>
    <w:rsid w:val="00896ADF"/>
    <w:rsid w:val="0089772B"/>
    <w:rsid w:val="008A125B"/>
    <w:rsid w:val="008A21BE"/>
    <w:rsid w:val="008A3ADA"/>
    <w:rsid w:val="008A48B1"/>
    <w:rsid w:val="008B0906"/>
    <w:rsid w:val="008B0B68"/>
    <w:rsid w:val="008B0C9C"/>
    <w:rsid w:val="008B187A"/>
    <w:rsid w:val="008B1BC5"/>
    <w:rsid w:val="008B2574"/>
    <w:rsid w:val="008B62AB"/>
    <w:rsid w:val="008C2690"/>
    <w:rsid w:val="008C49C9"/>
    <w:rsid w:val="008C523A"/>
    <w:rsid w:val="008C6DAF"/>
    <w:rsid w:val="008C7F54"/>
    <w:rsid w:val="008D1C10"/>
    <w:rsid w:val="008D2538"/>
    <w:rsid w:val="008D7135"/>
    <w:rsid w:val="008D7CCE"/>
    <w:rsid w:val="008E0EC8"/>
    <w:rsid w:val="008E47D2"/>
    <w:rsid w:val="008E4CED"/>
    <w:rsid w:val="008E54B8"/>
    <w:rsid w:val="008E6F33"/>
    <w:rsid w:val="008E78F7"/>
    <w:rsid w:val="008F09E7"/>
    <w:rsid w:val="008F14B8"/>
    <w:rsid w:val="008F4988"/>
    <w:rsid w:val="008F6676"/>
    <w:rsid w:val="00903734"/>
    <w:rsid w:val="009073DC"/>
    <w:rsid w:val="00907BC4"/>
    <w:rsid w:val="009103EB"/>
    <w:rsid w:val="009222A1"/>
    <w:rsid w:val="00927D7E"/>
    <w:rsid w:val="0093264D"/>
    <w:rsid w:val="00935439"/>
    <w:rsid w:val="009404F8"/>
    <w:rsid w:val="0094130D"/>
    <w:rsid w:val="00943ABC"/>
    <w:rsid w:val="009445D0"/>
    <w:rsid w:val="00945BBB"/>
    <w:rsid w:val="00950F14"/>
    <w:rsid w:val="0095135A"/>
    <w:rsid w:val="00951AD8"/>
    <w:rsid w:val="00951B86"/>
    <w:rsid w:val="00951B9D"/>
    <w:rsid w:val="0095639E"/>
    <w:rsid w:val="00957048"/>
    <w:rsid w:val="009574B5"/>
    <w:rsid w:val="00960088"/>
    <w:rsid w:val="009609BF"/>
    <w:rsid w:val="009614BF"/>
    <w:rsid w:val="009631D2"/>
    <w:rsid w:val="00965605"/>
    <w:rsid w:val="009656F8"/>
    <w:rsid w:val="009667F9"/>
    <w:rsid w:val="0096714C"/>
    <w:rsid w:val="00972039"/>
    <w:rsid w:val="00973644"/>
    <w:rsid w:val="0097563C"/>
    <w:rsid w:val="00984D8C"/>
    <w:rsid w:val="00987C4A"/>
    <w:rsid w:val="00990B83"/>
    <w:rsid w:val="00990E09"/>
    <w:rsid w:val="00991142"/>
    <w:rsid w:val="00992457"/>
    <w:rsid w:val="0099251F"/>
    <w:rsid w:val="009938A9"/>
    <w:rsid w:val="00995483"/>
    <w:rsid w:val="00996102"/>
    <w:rsid w:val="009A002C"/>
    <w:rsid w:val="009A323D"/>
    <w:rsid w:val="009A6C5B"/>
    <w:rsid w:val="009A71D7"/>
    <w:rsid w:val="009B19AB"/>
    <w:rsid w:val="009B2AEF"/>
    <w:rsid w:val="009B341C"/>
    <w:rsid w:val="009B53CE"/>
    <w:rsid w:val="009B6F97"/>
    <w:rsid w:val="009C0391"/>
    <w:rsid w:val="009C30E7"/>
    <w:rsid w:val="009C481B"/>
    <w:rsid w:val="009C6536"/>
    <w:rsid w:val="009D01A9"/>
    <w:rsid w:val="009D1ADB"/>
    <w:rsid w:val="009E1D5E"/>
    <w:rsid w:val="009E2982"/>
    <w:rsid w:val="009E2E6A"/>
    <w:rsid w:val="009F12E7"/>
    <w:rsid w:val="009F287C"/>
    <w:rsid w:val="009F70FE"/>
    <w:rsid w:val="009F74D5"/>
    <w:rsid w:val="009F7E63"/>
    <w:rsid w:val="00A018F7"/>
    <w:rsid w:val="00A0298D"/>
    <w:rsid w:val="00A05DB2"/>
    <w:rsid w:val="00A13D5A"/>
    <w:rsid w:val="00A15045"/>
    <w:rsid w:val="00A175E2"/>
    <w:rsid w:val="00A20548"/>
    <w:rsid w:val="00A216F2"/>
    <w:rsid w:val="00A266EA"/>
    <w:rsid w:val="00A2797C"/>
    <w:rsid w:val="00A33309"/>
    <w:rsid w:val="00A33868"/>
    <w:rsid w:val="00A33C6B"/>
    <w:rsid w:val="00A33EF0"/>
    <w:rsid w:val="00A3712C"/>
    <w:rsid w:val="00A377E1"/>
    <w:rsid w:val="00A402A9"/>
    <w:rsid w:val="00A43226"/>
    <w:rsid w:val="00A432BC"/>
    <w:rsid w:val="00A4413B"/>
    <w:rsid w:val="00A4596A"/>
    <w:rsid w:val="00A4607D"/>
    <w:rsid w:val="00A46BD4"/>
    <w:rsid w:val="00A47CB5"/>
    <w:rsid w:val="00A51ACF"/>
    <w:rsid w:val="00A54876"/>
    <w:rsid w:val="00A54A83"/>
    <w:rsid w:val="00A55194"/>
    <w:rsid w:val="00A6307B"/>
    <w:rsid w:val="00A63DE3"/>
    <w:rsid w:val="00A6545D"/>
    <w:rsid w:val="00A66DFF"/>
    <w:rsid w:val="00A716B8"/>
    <w:rsid w:val="00A72FA8"/>
    <w:rsid w:val="00A7493E"/>
    <w:rsid w:val="00A75A17"/>
    <w:rsid w:val="00A778A1"/>
    <w:rsid w:val="00A802CC"/>
    <w:rsid w:val="00A8070B"/>
    <w:rsid w:val="00A80FB1"/>
    <w:rsid w:val="00A814E8"/>
    <w:rsid w:val="00A821EE"/>
    <w:rsid w:val="00A82D04"/>
    <w:rsid w:val="00A85707"/>
    <w:rsid w:val="00A864E5"/>
    <w:rsid w:val="00A939FF"/>
    <w:rsid w:val="00A94AD7"/>
    <w:rsid w:val="00A97D31"/>
    <w:rsid w:val="00AA1258"/>
    <w:rsid w:val="00AA16F6"/>
    <w:rsid w:val="00AA2E60"/>
    <w:rsid w:val="00AA4D08"/>
    <w:rsid w:val="00AB4C6E"/>
    <w:rsid w:val="00AB5CA1"/>
    <w:rsid w:val="00AB6A75"/>
    <w:rsid w:val="00AC16BE"/>
    <w:rsid w:val="00AC1DB2"/>
    <w:rsid w:val="00AC1F19"/>
    <w:rsid w:val="00AC5ABC"/>
    <w:rsid w:val="00AC7DDB"/>
    <w:rsid w:val="00AD1125"/>
    <w:rsid w:val="00AD2FAA"/>
    <w:rsid w:val="00AD3C68"/>
    <w:rsid w:val="00AD44CB"/>
    <w:rsid w:val="00AD63A1"/>
    <w:rsid w:val="00AD688C"/>
    <w:rsid w:val="00AE47B8"/>
    <w:rsid w:val="00AE47FB"/>
    <w:rsid w:val="00AE4ABD"/>
    <w:rsid w:val="00AE56D7"/>
    <w:rsid w:val="00AE6C02"/>
    <w:rsid w:val="00AF092B"/>
    <w:rsid w:val="00AF1847"/>
    <w:rsid w:val="00AF414C"/>
    <w:rsid w:val="00AF7E0C"/>
    <w:rsid w:val="00B002AA"/>
    <w:rsid w:val="00B03254"/>
    <w:rsid w:val="00B03AE7"/>
    <w:rsid w:val="00B043C8"/>
    <w:rsid w:val="00B05A07"/>
    <w:rsid w:val="00B0658C"/>
    <w:rsid w:val="00B12193"/>
    <w:rsid w:val="00B13C0D"/>
    <w:rsid w:val="00B242BF"/>
    <w:rsid w:val="00B315FE"/>
    <w:rsid w:val="00B31AAA"/>
    <w:rsid w:val="00B41BAD"/>
    <w:rsid w:val="00B41C46"/>
    <w:rsid w:val="00B41D90"/>
    <w:rsid w:val="00B43234"/>
    <w:rsid w:val="00B43E61"/>
    <w:rsid w:val="00B45240"/>
    <w:rsid w:val="00B4622C"/>
    <w:rsid w:val="00B47372"/>
    <w:rsid w:val="00B47663"/>
    <w:rsid w:val="00B5110A"/>
    <w:rsid w:val="00B51405"/>
    <w:rsid w:val="00B550B4"/>
    <w:rsid w:val="00B55775"/>
    <w:rsid w:val="00B61AB9"/>
    <w:rsid w:val="00B61C31"/>
    <w:rsid w:val="00B6280B"/>
    <w:rsid w:val="00B62CFD"/>
    <w:rsid w:val="00B63D1F"/>
    <w:rsid w:val="00B64A4B"/>
    <w:rsid w:val="00B653F1"/>
    <w:rsid w:val="00B66E06"/>
    <w:rsid w:val="00B672BC"/>
    <w:rsid w:val="00B704DB"/>
    <w:rsid w:val="00B71C78"/>
    <w:rsid w:val="00B7246E"/>
    <w:rsid w:val="00B72E9A"/>
    <w:rsid w:val="00B7447D"/>
    <w:rsid w:val="00B75026"/>
    <w:rsid w:val="00B75830"/>
    <w:rsid w:val="00B77AC4"/>
    <w:rsid w:val="00B807F3"/>
    <w:rsid w:val="00B81486"/>
    <w:rsid w:val="00B83B18"/>
    <w:rsid w:val="00B8424B"/>
    <w:rsid w:val="00B85480"/>
    <w:rsid w:val="00B85B34"/>
    <w:rsid w:val="00B85C76"/>
    <w:rsid w:val="00B87960"/>
    <w:rsid w:val="00B90170"/>
    <w:rsid w:val="00B93DB0"/>
    <w:rsid w:val="00B94C6E"/>
    <w:rsid w:val="00B966C7"/>
    <w:rsid w:val="00B96F1C"/>
    <w:rsid w:val="00B97078"/>
    <w:rsid w:val="00B970B0"/>
    <w:rsid w:val="00B974C7"/>
    <w:rsid w:val="00B97ABE"/>
    <w:rsid w:val="00BA1D0F"/>
    <w:rsid w:val="00BA2048"/>
    <w:rsid w:val="00BA4C46"/>
    <w:rsid w:val="00BA4CE5"/>
    <w:rsid w:val="00BA5873"/>
    <w:rsid w:val="00BB22D2"/>
    <w:rsid w:val="00BB272D"/>
    <w:rsid w:val="00BB5EB1"/>
    <w:rsid w:val="00BB6339"/>
    <w:rsid w:val="00BC3323"/>
    <w:rsid w:val="00BC3A0C"/>
    <w:rsid w:val="00BC5B47"/>
    <w:rsid w:val="00BD09CF"/>
    <w:rsid w:val="00BD27CF"/>
    <w:rsid w:val="00BD43D0"/>
    <w:rsid w:val="00BD44BF"/>
    <w:rsid w:val="00BD4BE3"/>
    <w:rsid w:val="00BD6F4A"/>
    <w:rsid w:val="00BE06EB"/>
    <w:rsid w:val="00BE20E4"/>
    <w:rsid w:val="00BE2BA0"/>
    <w:rsid w:val="00BE35B9"/>
    <w:rsid w:val="00BE4CE5"/>
    <w:rsid w:val="00BE5DBB"/>
    <w:rsid w:val="00BE67E5"/>
    <w:rsid w:val="00BF04A8"/>
    <w:rsid w:val="00BF3688"/>
    <w:rsid w:val="00BF36F3"/>
    <w:rsid w:val="00BF388F"/>
    <w:rsid w:val="00BF5F4F"/>
    <w:rsid w:val="00C009D1"/>
    <w:rsid w:val="00C05063"/>
    <w:rsid w:val="00C11DA6"/>
    <w:rsid w:val="00C12064"/>
    <w:rsid w:val="00C148FA"/>
    <w:rsid w:val="00C14D77"/>
    <w:rsid w:val="00C15B23"/>
    <w:rsid w:val="00C16840"/>
    <w:rsid w:val="00C1705D"/>
    <w:rsid w:val="00C17B63"/>
    <w:rsid w:val="00C227C4"/>
    <w:rsid w:val="00C2290D"/>
    <w:rsid w:val="00C2340F"/>
    <w:rsid w:val="00C2575F"/>
    <w:rsid w:val="00C278B9"/>
    <w:rsid w:val="00C2795B"/>
    <w:rsid w:val="00C319FF"/>
    <w:rsid w:val="00C31A93"/>
    <w:rsid w:val="00C33965"/>
    <w:rsid w:val="00C447B3"/>
    <w:rsid w:val="00C50756"/>
    <w:rsid w:val="00C550C6"/>
    <w:rsid w:val="00C559D6"/>
    <w:rsid w:val="00C55ED6"/>
    <w:rsid w:val="00C56CE1"/>
    <w:rsid w:val="00C57425"/>
    <w:rsid w:val="00C60B70"/>
    <w:rsid w:val="00C61DE1"/>
    <w:rsid w:val="00C6211D"/>
    <w:rsid w:val="00C64B2E"/>
    <w:rsid w:val="00C65FAF"/>
    <w:rsid w:val="00C66CB2"/>
    <w:rsid w:val="00C71A8A"/>
    <w:rsid w:val="00C71DDE"/>
    <w:rsid w:val="00C74C19"/>
    <w:rsid w:val="00C75168"/>
    <w:rsid w:val="00C8007A"/>
    <w:rsid w:val="00C82C77"/>
    <w:rsid w:val="00C83CD9"/>
    <w:rsid w:val="00C84BA4"/>
    <w:rsid w:val="00C8708D"/>
    <w:rsid w:val="00C91E88"/>
    <w:rsid w:val="00CA4F03"/>
    <w:rsid w:val="00CA583B"/>
    <w:rsid w:val="00CA649C"/>
    <w:rsid w:val="00CB1B90"/>
    <w:rsid w:val="00CB2118"/>
    <w:rsid w:val="00CB353F"/>
    <w:rsid w:val="00CB505D"/>
    <w:rsid w:val="00CB513F"/>
    <w:rsid w:val="00CB6A65"/>
    <w:rsid w:val="00CB6B2C"/>
    <w:rsid w:val="00CB6F13"/>
    <w:rsid w:val="00CC0F1E"/>
    <w:rsid w:val="00CC18C3"/>
    <w:rsid w:val="00CC36DE"/>
    <w:rsid w:val="00CC5B6A"/>
    <w:rsid w:val="00CC7FC2"/>
    <w:rsid w:val="00CD100C"/>
    <w:rsid w:val="00CD3512"/>
    <w:rsid w:val="00CD42A0"/>
    <w:rsid w:val="00CD4E70"/>
    <w:rsid w:val="00CD5359"/>
    <w:rsid w:val="00CD5B2B"/>
    <w:rsid w:val="00CD5D2D"/>
    <w:rsid w:val="00CD6793"/>
    <w:rsid w:val="00CD6A29"/>
    <w:rsid w:val="00CE0905"/>
    <w:rsid w:val="00CE4639"/>
    <w:rsid w:val="00CE5565"/>
    <w:rsid w:val="00CE6547"/>
    <w:rsid w:val="00CE6E6A"/>
    <w:rsid w:val="00CE786D"/>
    <w:rsid w:val="00CF1A98"/>
    <w:rsid w:val="00CF49D5"/>
    <w:rsid w:val="00CF4A0F"/>
    <w:rsid w:val="00CF53EA"/>
    <w:rsid w:val="00CF7C33"/>
    <w:rsid w:val="00D00245"/>
    <w:rsid w:val="00D007C6"/>
    <w:rsid w:val="00D0272A"/>
    <w:rsid w:val="00D0371D"/>
    <w:rsid w:val="00D05BD2"/>
    <w:rsid w:val="00D066A7"/>
    <w:rsid w:val="00D07DB7"/>
    <w:rsid w:val="00D1104B"/>
    <w:rsid w:val="00D116A0"/>
    <w:rsid w:val="00D158FE"/>
    <w:rsid w:val="00D21199"/>
    <w:rsid w:val="00D25635"/>
    <w:rsid w:val="00D31EEC"/>
    <w:rsid w:val="00D33EF4"/>
    <w:rsid w:val="00D369CA"/>
    <w:rsid w:val="00D36AC4"/>
    <w:rsid w:val="00D36B7A"/>
    <w:rsid w:val="00D40653"/>
    <w:rsid w:val="00D41011"/>
    <w:rsid w:val="00D41886"/>
    <w:rsid w:val="00D44117"/>
    <w:rsid w:val="00D4462D"/>
    <w:rsid w:val="00D44C86"/>
    <w:rsid w:val="00D45D88"/>
    <w:rsid w:val="00D45EE9"/>
    <w:rsid w:val="00D54067"/>
    <w:rsid w:val="00D56703"/>
    <w:rsid w:val="00D57AEA"/>
    <w:rsid w:val="00D60D43"/>
    <w:rsid w:val="00D617B5"/>
    <w:rsid w:val="00D62FA4"/>
    <w:rsid w:val="00D64874"/>
    <w:rsid w:val="00D6606E"/>
    <w:rsid w:val="00D75322"/>
    <w:rsid w:val="00D753C6"/>
    <w:rsid w:val="00D75857"/>
    <w:rsid w:val="00D779DE"/>
    <w:rsid w:val="00D779F6"/>
    <w:rsid w:val="00D81461"/>
    <w:rsid w:val="00D83209"/>
    <w:rsid w:val="00D83A6F"/>
    <w:rsid w:val="00D86C15"/>
    <w:rsid w:val="00D873BF"/>
    <w:rsid w:val="00D91ECC"/>
    <w:rsid w:val="00D91ED2"/>
    <w:rsid w:val="00D92BC4"/>
    <w:rsid w:val="00D94825"/>
    <w:rsid w:val="00D94C0C"/>
    <w:rsid w:val="00D9595A"/>
    <w:rsid w:val="00D95A40"/>
    <w:rsid w:val="00DA2015"/>
    <w:rsid w:val="00DA219E"/>
    <w:rsid w:val="00DA2FF7"/>
    <w:rsid w:val="00DA346A"/>
    <w:rsid w:val="00DA3A83"/>
    <w:rsid w:val="00DA400A"/>
    <w:rsid w:val="00DA4B09"/>
    <w:rsid w:val="00DA628C"/>
    <w:rsid w:val="00DA703B"/>
    <w:rsid w:val="00DB440E"/>
    <w:rsid w:val="00DC06D1"/>
    <w:rsid w:val="00DC204C"/>
    <w:rsid w:val="00DC3718"/>
    <w:rsid w:val="00DC61F3"/>
    <w:rsid w:val="00DC79EC"/>
    <w:rsid w:val="00DC7D3B"/>
    <w:rsid w:val="00DD37EE"/>
    <w:rsid w:val="00DD3EE7"/>
    <w:rsid w:val="00DD445F"/>
    <w:rsid w:val="00DD5A63"/>
    <w:rsid w:val="00DD6079"/>
    <w:rsid w:val="00DE0A0F"/>
    <w:rsid w:val="00DE1D3D"/>
    <w:rsid w:val="00DE265F"/>
    <w:rsid w:val="00DE338F"/>
    <w:rsid w:val="00DE521B"/>
    <w:rsid w:val="00DE56EE"/>
    <w:rsid w:val="00DE609E"/>
    <w:rsid w:val="00DE6206"/>
    <w:rsid w:val="00DE7B19"/>
    <w:rsid w:val="00DF1604"/>
    <w:rsid w:val="00DF2F9C"/>
    <w:rsid w:val="00DF6492"/>
    <w:rsid w:val="00DF7709"/>
    <w:rsid w:val="00E0429E"/>
    <w:rsid w:val="00E050D7"/>
    <w:rsid w:val="00E1047D"/>
    <w:rsid w:val="00E10A1C"/>
    <w:rsid w:val="00E1295D"/>
    <w:rsid w:val="00E1714E"/>
    <w:rsid w:val="00E216E2"/>
    <w:rsid w:val="00E24479"/>
    <w:rsid w:val="00E24AA1"/>
    <w:rsid w:val="00E25325"/>
    <w:rsid w:val="00E306DB"/>
    <w:rsid w:val="00E34572"/>
    <w:rsid w:val="00E35D62"/>
    <w:rsid w:val="00E37DD9"/>
    <w:rsid w:val="00E37EE1"/>
    <w:rsid w:val="00E410F6"/>
    <w:rsid w:val="00E45557"/>
    <w:rsid w:val="00E51129"/>
    <w:rsid w:val="00E51D45"/>
    <w:rsid w:val="00E52B5E"/>
    <w:rsid w:val="00E53FD0"/>
    <w:rsid w:val="00E55A84"/>
    <w:rsid w:val="00E62E98"/>
    <w:rsid w:val="00E6341B"/>
    <w:rsid w:val="00E63AD3"/>
    <w:rsid w:val="00E653C3"/>
    <w:rsid w:val="00E70277"/>
    <w:rsid w:val="00E721BA"/>
    <w:rsid w:val="00E722C9"/>
    <w:rsid w:val="00E7618F"/>
    <w:rsid w:val="00E77FE8"/>
    <w:rsid w:val="00E80D70"/>
    <w:rsid w:val="00E833B4"/>
    <w:rsid w:val="00E834F2"/>
    <w:rsid w:val="00E8373C"/>
    <w:rsid w:val="00E84CF9"/>
    <w:rsid w:val="00E8587D"/>
    <w:rsid w:val="00E91880"/>
    <w:rsid w:val="00E93A2D"/>
    <w:rsid w:val="00E93B39"/>
    <w:rsid w:val="00E93E09"/>
    <w:rsid w:val="00E94D69"/>
    <w:rsid w:val="00E96767"/>
    <w:rsid w:val="00EA002D"/>
    <w:rsid w:val="00EA0930"/>
    <w:rsid w:val="00EA130B"/>
    <w:rsid w:val="00EA1C28"/>
    <w:rsid w:val="00EA47D7"/>
    <w:rsid w:val="00EA4838"/>
    <w:rsid w:val="00EA5BE0"/>
    <w:rsid w:val="00EA65D1"/>
    <w:rsid w:val="00EB0DA2"/>
    <w:rsid w:val="00EB28AE"/>
    <w:rsid w:val="00EB376F"/>
    <w:rsid w:val="00EB5BB0"/>
    <w:rsid w:val="00EB783D"/>
    <w:rsid w:val="00EC1EB4"/>
    <w:rsid w:val="00EC632D"/>
    <w:rsid w:val="00EC7999"/>
    <w:rsid w:val="00ED4C4D"/>
    <w:rsid w:val="00ED4F89"/>
    <w:rsid w:val="00ED5E8D"/>
    <w:rsid w:val="00ED70A5"/>
    <w:rsid w:val="00ED7CA2"/>
    <w:rsid w:val="00EE0947"/>
    <w:rsid w:val="00EE161B"/>
    <w:rsid w:val="00EF761B"/>
    <w:rsid w:val="00F006C6"/>
    <w:rsid w:val="00F006FE"/>
    <w:rsid w:val="00F02E5C"/>
    <w:rsid w:val="00F06E22"/>
    <w:rsid w:val="00F0749B"/>
    <w:rsid w:val="00F0760B"/>
    <w:rsid w:val="00F07D52"/>
    <w:rsid w:val="00F109EF"/>
    <w:rsid w:val="00F12AE5"/>
    <w:rsid w:val="00F167EB"/>
    <w:rsid w:val="00F17CE6"/>
    <w:rsid w:val="00F20261"/>
    <w:rsid w:val="00F20C73"/>
    <w:rsid w:val="00F20EA7"/>
    <w:rsid w:val="00F210FB"/>
    <w:rsid w:val="00F21D42"/>
    <w:rsid w:val="00F23567"/>
    <w:rsid w:val="00F26A85"/>
    <w:rsid w:val="00F279C6"/>
    <w:rsid w:val="00F30C65"/>
    <w:rsid w:val="00F31B71"/>
    <w:rsid w:val="00F3237F"/>
    <w:rsid w:val="00F357C0"/>
    <w:rsid w:val="00F35F59"/>
    <w:rsid w:val="00F36576"/>
    <w:rsid w:val="00F413A3"/>
    <w:rsid w:val="00F44CE6"/>
    <w:rsid w:val="00F46176"/>
    <w:rsid w:val="00F4635D"/>
    <w:rsid w:val="00F47154"/>
    <w:rsid w:val="00F4724B"/>
    <w:rsid w:val="00F475CF"/>
    <w:rsid w:val="00F504CE"/>
    <w:rsid w:val="00F55122"/>
    <w:rsid w:val="00F60DD8"/>
    <w:rsid w:val="00F61B25"/>
    <w:rsid w:val="00F65758"/>
    <w:rsid w:val="00F66981"/>
    <w:rsid w:val="00F70A74"/>
    <w:rsid w:val="00F75A1E"/>
    <w:rsid w:val="00F84357"/>
    <w:rsid w:val="00F85FB1"/>
    <w:rsid w:val="00F91AEE"/>
    <w:rsid w:val="00F927A8"/>
    <w:rsid w:val="00F93175"/>
    <w:rsid w:val="00F93C96"/>
    <w:rsid w:val="00F94D6F"/>
    <w:rsid w:val="00F952D6"/>
    <w:rsid w:val="00F9638B"/>
    <w:rsid w:val="00FA0803"/>
    <w:rsid w:val="00FA3567"/>
    <w:rsid w:val="00FA6A80"/>
    <w:rsid w:val="00FA73CA"/>
    <w:rsid w:val="00FB11CD"/>
    <w:rsid w:val="00FB2118"/>
    <w:rsid w:val="00FB363B"/>
    <w:rsid w:val="00FB401A"/>
    <w:rsid w:val="00FB4405"/>
    <w:rsid w:val="00FB46FE"/>
    <w:rsid w:val="00FB5FB7"/>
    <w:rsid w:val="00FB7AE6"/>
    <w:rsid w:val="00FC03A9"/>
    <w:rsid w:val="00FC0960"/>
    <w:rsid w:val="00FC17B5"/>
    <w:rsid w:val="00FC3E6D"/>
    <w:rsid w:val="00FC4B48"/>
    <w:rsid w:val="00FC5893"/>
    <w:rsid w:val="00FC5DF5"/>
    <w:rsid w:val="00FC6B61"/>
    <w:rsid w:val="00FD215A"/>
    <w:rsid w:val="00FD5F66"/>
    <w:rsid w:val="00FD6791"/>
    <w:rsid w:val="00FD7FE7"/>
    <w:rsid w:val="00FE29CE"/>
    <w:rsid w:val="00FE4462"/>
    <w:rsid w:val="00FE533A"/>
    <w:rsid w:val="00FE569E"/>
    <w:rsid w:val="00FE6485"/>
    <w:rsid w:val="00FF1CA8"/>
    <w:rsid w:val="00FF4484"/>
    <w:rsid w:val="00FF52A9"/>
    <w:rsid w:val="00FF620A"/>
    <w:rsid w:val="00FF71D2"/>
    <w:rsid w:val="00FF7E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951AD8"/>
    <w:pPr>
      <w:keepNext/>
      <w:keepLines/>
      <w:spacing w:before="480" w:after="0"/>
      <w:outlineLvl w:val="0"/>
    </w:pPr>
    <w:rPr>
      <w:rFonts w:ascii="Arial" w:eastAsiaTheme="majorEastAsia" w:hAnsi="Arial" w:cstheme="majorBidi"/>
      <w:b/>
      <w:bCs/>
      <w:sz w:val="32"/>
      <w:szCs w:val="28"/>
    </w:rPr>
  </w:style>
  <w:style w:type="paragraph" w:styleId="Naslov2">
    <w:name w:val="heading 2"/>
    <w:basedOn w:val="Normal"/>
    <w:next w:val="Normal"/>
    <w:link w:val="Naslov2Char"/>
    <w:uiPriority w:val="9"/>
    <w:unhideWhenUsed/>
    <w:qFormat/>
    <w:rsid w:val="00951AD8"/>
    <w:pPr>
      <w:keepNext/>
      <w:keepLines/>
      <w:spacing w:before="200" w:after="0"/>
      <w:outlineLvl w:val="1"/>
    </w:pPr>
    <w:rPr>
      <w:rFonts w:ascii="Arial" w:eastAsiaTheme="majorEastAsia" w:hAnsi="Arial" w:cstheme="majorBidi"/>
      <w:b/>
      <w:bCs/>
      <w:sz w:val="28"/>
      <w:szCs w:val="26"/>
    </w:rPr>
  </w:style>
  <w:style w:type="paragraph" w:styleId="Naslov3">
    <w:name w:val="heading 3"/>
    <w:basedOn w:val="Normal"/>
    <w:next w:val="Normal"/>
    <w:link w:val="Naslov3Char"/>
    <w:uiPriority w:val="9"/>
    <w:unhideWhenUsed/>
    <w:qFormat/>
    <w:rsid w:val="00951AD8"/>
    <w:pPr>
      <w:keepNext/>
      <w:keepLines/>
      <w:spacing w:before="200" w:after="0"/>
      <w:outlineLvl w:val="2"/>
    </w:pPr>
    <w:rPr>
      <w:rFonts w:ascii="Arial" w:eastAsiaTheme="majorEastAsia" w:hAnsi="Arial" w:cstheme="majorBidi"/>
      <w:b/>
      <w:bC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nhideWhenUsed/>
    <w:rsid w:val="00AB4C6E"/>
    <w:pPr>
      <w:spacing w:after="0" w:line="240" w:lineRule="auto"/>
    </w:pPr>
    <w:rPr>
      <w:sz w:val="20"/>
      <w:szCs w:val="20"/>
    </w:rPr>
  </w:style>
  <w:style w:type="character" w:customStyle="1" w:styleId="TekstfusnoteChar">
    <w:name w:val="Tekst fusnote Char"/>
    <w:basedOn w:val="Zadanifontodlomka"/>
    <w:link w:val="Tekstfusnote"/>
    <w:rsid w:val="00AB4C6E"/>
    <w:rPr>
      <w:sz w:val="20"/>
      <w:szCs w:val="20"/>
    </w:rPr>
  </w:style>
  <w:style w:type="character" w:styleId="Referencafusnote">
    <w:name w:val="footnote reference"/>
    <w:basedOn w:val="Zadanifontodlomka"/>
    <w:unhideWhenUsed/>
    <w:rsid w:val="00AB4C6E"/>
    <w:rPr>
      <w:vertAlign w:val="superscript"/>
    </w:rPr>
  </w:style>
  <w:style w:type="paragraph" w:styleId="Odlomakpopisa">
    <w:name w:val="List Paragraph"/>
    <w:basedOn w:val="Normal"/>
    <w:uiPriority w:val="34"/>
    <w:qFormat/>
    <w:rsid w:val="00116473"/>
    <w:pPr>
      <w:ind w:left="720"/>
      <w:contextualSpacing/>
    </w:pPr>
  </w:style>
  <w:style w:type="paragraph" w:customStyle="1" w:styleId="t-9-8">
    <w:name w:val="t-9-8"/>
    <w:basedOn w:val="Normal"/>
    <w:rsid w:val="004568A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237519"/>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237519"/>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98-2">
    <w:name w:val="T-9/8-2"/>
    <w:rsid w:val="002628C2"/>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NewRoman"/>
      <w:sz w:val="19"/>
      <w:szCs w:val="19"/>
      <w:lang w:eastAsia="hr-HR"/>
    </w:rPr>
  </w:style>
  <w:style w:type="paragraph" w:customStyle="1" w:styleId="Clanak">
    <w:name w:val="Clanak"/>
    <w:next w:val="T-98-2"/>
    <w:rsid w:val="002628C2"/>
    <w:pPr>
      <w:widowControl w:val="0"/>
      <w:autoSpaceDE w:val="0"/>
      <w:autoSpaceDN w:val="0"/>
      <w:adjustRightInd w:val="0"/>
      <w:spacing w:before="86" w:after="43" w:line="240" w:lineRule="auto"/>
      <w:jc w:val="center"/>
    </w:pPr>
    <w:rPr>
      <w:rFonts w:ascii="Times-NewRoman" w:eastAsia="Times New Roman" w:hAnsi="Times-NewRoman" w:cs="Times-NewRoman"/>
      <w:sz w:val="19"/>
      <w:szCs w:val="19"/>
      <w:lang w:eastAsia="hr-HR"/>
    </w:rPr>
  </w:style>
  <w:style w:type="paragraph" w:styleId="Bezproreda">
    <w:name w:val="No Spacing"/>
    <w:uiPriority w:val="1"/>
    <w:qFormat/>
    <w:rsid w:val="002628C2"/>
    <w:pPr>
      <w:spacing w:after="0" w:line="240" w:lineRule="auto"/>
    </w:pPr>
    <w:rPr>
      <w:rFonts w:ascii="Arial" w:hAnsi="Arial"/>
      <w:sz w:val="24"/>
      <w:lang w:eastAsia="hr-HR"/>
    </w:rPr>
  </w:style>
  <w:style w:type="paragraph" w:customStyle="1" w:styleId="t-98-20">
    <w:name w:val="t-98-2"/>
    <w:basedOn w:val="Normal"/>
    <w:rsid w:val="008847EC"/>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FC589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FC5893"/>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pt-zadanifontodlomka-000005">
    <w:name w:val="pt-zadanifontodlomka-000005"/>
    <w:basedOn w:val="Zadanifontodlomka"/>
    <w:rsid w:val="00273570"/>
  </w:style>
  <w:style w:type="character" w:customStyle="1" w:styleId="kurziv">
    <w:name w:val="kurziv"/>
    <w:basedOn w:val="Zadanifontodlomka"/>
    <w:rsid w:val="003341A7"/>
  </w:style>
  <w:style w:type="paragraph" w:styleId="Zaglavlje">
    <w:name w:val="header"/>
    <w:basedOn w:val="Normal"/>
    <w:link w:val="ZaglavljeChar"/>
    <w:uiPriority w:val="99"/>
    <w:unhideWhenUsed/>
    <w:rsid w:val="004107A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107A7"/>
  </w:style>
  <w:style w:type="paragraph" w:styleId="Podnoje">
    <w:name w:val="footer"/>
    <w:basedOn w:val="Normal"/>
    <w:link w:val="PodnojeChar"/>
    <w:uiPriority w:val="99"/>
    <w:unhideWhenUsed/>
    <w:rsid w:val="004107A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107A7"/>
  </w:style>
  <w:style w:type="character" w:customStyle="1" w:styleId="FootnoteCharacters">
    <w:name w:val="Footnote Characters"/>
    <w:rsid w:val="00C57425"/>
    <w:rPr>
      <w:vertAlign w:val="superscript"/>
    </w:rPr>
  </w:style>
  <w:style w:type="paragraph" w:styleId="Tekstbalonia">
    <w:name w:val="Balloon Text"/>
    <w:basedOn w:val="Normal"/>
    <w:link w:val="TekstbaloniaChar"/>
    <w:uiPriority w:val="99"/>
    <w:semiHidden/>
    <w:unhideWhenUsed/>
    <w:rsid w:val="00BE35B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E35B9"/>
    <w:rPr>
      <w:rFonts w:ascii="Tahoma" w:hAnsi="Tahoma" w:cs="Tahoma"/>
      <w:sz w:val="16"/>
      <w:szCs w:val="16"/>
    </w:rPr>
  </w:style>
  <w:style w:type="paragraph" w:customStyle="1" w:styleId="box455894">
    <w:name w:val="box_455894"/>
    <w:basedOn w:val="Normal"/>
    <w:rsid w:val="000F6E9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951AD8"/>
    <w:rPr>
      <w:rFonts w:ascii="Arial" w:eastAsiaTheme="majorEastAsia" w:hAnsi="Arial" w:cstheme="majorBidi"/>
      <w:b/>
      <w:bCs/>
      <w:sz w:val="32"/>
      <w:szCs w:val="28"/>
    </w:rPr>
  </w:style>
  <w:style w:type="character" w:customStyle="1" w:styleId="Naslov2Char">
    <w:name w:val="Naslov 2 Char"/>
    <w:basedOn w:val="Zadanifontodlomka"/>
    <w:link w:val="Naslov2"/>
    <w:uiPriority w:val="9"/>
    <w:rsid w:val="00951AD8"/>
    <w:rPr>
      <w:rFonts w:ascii="Arial" w:eastAsiaTheme="majorEastAsia" w:hAnsi="Arial" w:cstheme="majorBidi"/>
      <w:b/>
      <w:bCs/>
      <w:sz w:val="28"/>
      <w:szCs w:val="26"/>
    </w:rPr>
  </w:style>
  <w:style w:type="paragraph" w:styleId="Podnaslov">
    <w:name w:val="Subtitle"/>
    <w:basedOn w:val="Normal"/>
    <w:next w:val="Normal"/>
    <w:link w:val="PodnaslovChar"/>
    <w:uiPriority w:val="11"/>
    <w:qFormat/>
    <w:rsid w:val="00951AD8"/>
    <w:pPr>
      <w:numPr>
        <w:ilvl w:val="1"/>
      </w:numPr>
    </w:pPr>
    <w:rPr>
      <w:rFonts w:ascii="Arial" w:eastAsiaTheme="majorEastAsia" w:hAnsi="Arial" w:cstheme="majorBidi"/>
      <w:b/>
      <w:iCs/>
      <w:spacing w:val="15"/>
      <w:sz w:val="24"/>
      <w:szCs w:val="24"/>
    </w:rPr>
  </w:style>
  <w:style w:type="character" w:customStyle="1" w:styleId="PodnaslovChar">
    <w:name w:val="Podnaslov Char"/>
    <w:basedOn w:val="Zadanifontodlomka"/>
    <w:link w:val="Podnaslov"/>
    <w:uiPriority w:val="11"/>
    <w:rsid w:val="00951AD8"/>
    <w:rPr>
      <w:rFonts w:ascii="Arial" w:eastAsiaTheme="majorEastAsia" w:hAnsi="Arial" w:cstheme="majorBidi"/>
      <w:b/>
      <w:iCs/>
      <w:spacing w:val="15"/>
      <w:sz w:val="24"/>
      <w:szCs w:val="24"/>
    </w:rPr>
  </w:style>
  <w:style w:type="character" w:customStyle="1" w:styleId="Naslov3Char">
    <w:name w:val="Naslov 3 Char"/>
    <w:basedOn w:val="Zadanifontodlomka"/>
    <w:link w:val="Naslov3"/>
    <w:uiPriority w:val="9"/>
    <w:rsid w:val="00951AD8"/>
    <w:rPr>
      <w:rFonts w:ascii="Arial" w:eastAsiaTheme="majorEastAsia" w:hAnsi="Arial" w:cstheme="majorBidi"/>
      <w:b/>
      <w:bCs/>
      <w:sz w:val="24"/>
    </w:rPr>
  </w:style>
  <w:style w:type="paragraph" w:styleId="TOCNaslov">
    <w:name w:val="TOC Heading"/>
    <w:basedOn w:val="Naslov1"/>
    <w:next w:val="Normal"/>
    <w:uiPriority w:val="39"/>
    <w:semiHidden/>
    <w:unhideWhenUsed/>
    <w:qFormat/>
    <w:rsid w:val="00281FC4"/>
    <w:pPr>
      <w:spacing w:line="276" w:lineRule="auto"/>
      <w:outlineLvl w:val="9"/>
    </w:pPr>
    <w:rPr>
      <w:rFonts w:asciiTheme="majorHAnsi" w:hAnsiTheme="majorHAnsi"/>
      <w:color w:val="2E74B5" w:themeColor="accent1" w:themeShade="BF"/>
      <w:sz w:val="28"/>
      <w:lang w:eastAsia="hr-HR"/>
    </w:rPr>
  </w:style>
  <w:style w:type="paragraph" w:styleId="Sadraj1">
    <w:name w:val="toc 1"/>
    <w:basedOn w:val="Normal"/>
    <w:next w:val="Normal"/>
    <w:autoRedefine/>
    <w:uiPriority w:val="39"/>
    <w:unhideWhenUsed/>
    <w:rsid w:val="00281FC4"/>
    <w:pPr>
      <w:spacing w:after="100"/>
    </w:pPr>
  </w:style>
  <w:style w:type="paragraph" w:styleId="Sadraj2">
    <w:name w:val="toc 2"/>
    <w:basedOn w:val="Normal"/>
    <w:next w:val="Normal"/>
    <w:autoRedefine/>
    <w:uiPriority w:val="39"/>
    <w:unhideWhenUsed/>
    <w:rsid w:val="00281FC4"/>
    <w:pPr>
      <w:spacing w:after="100"/>
      <w:ind w:left="220"/>
    </w:pPr>
  </w:style>
  <w:style w:type="paragraph" w:styleId="Sadraj3">
    <w:name w:val="toc 3"/>
    <w:basedOn w:val="Normal"/>
    <w:next w:val="Normal"/>
    <w:autoRedefine/>
    <w:uiPriority w:val="39"/>
    <w:unhideWhenUsed/>
    <w:rsid w:val="00281FC4"/>
    <w:pPr>
      <w:spacing w:after="100"/>
      <w:ind w:left="440"/>
    </w:pPr>
  </w:style>
  <w:style w:type="character" w:styleId="Hiperveza">
    <w:name w:val="Hyperlink"/>
    <w:basedOn w:val="Zadanifontodlomka"/>
    <w:uiPriority w:val="99"/>
    <w:unhideWhenUsed/>
    <w:rsid w:val="00281FC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951AD8"/>
    <w:pPr>
      <w:keepNext/>
      <w:keepLines/>
      <w:spacing w:before="480" w:after="0"/>
      <w:outlineLvl w:val="0"/>
    </w:pPr>
    <w:rPr>
      <w:rFonts w:ascii="Arial" w:eastAsiaTheme="majorEastAsia" w:hAnsi="Arial" w:cstheme="majorBidi"/>
      <w:b/>
      <w:bCs/>
      <w:sz w:val="32"/>
      <w:szCs w:val="28"/>
    </w:rPr>
  </w:style>
  <w:style w:type="paragraph" w:styleId="Naslov2">
    <w:name w:val="heading 2"/>
    <w:basedOn w:val="Normal"/>
    <w:next w:val="Normal"/>
    <w:link w:val="Naslov2Char"/>
    <w:uiPriority w:val="9"/>
    <w:unhideWhenUsed/>
    <w:qFormat/>
    <w:rsid w:val="00951AD8"/>
    <w:pPr>
      <w:keepNext/>
      <w:keepLines/>
      <w:spacing w:before="200" w:after="0"/>
      <w:outlineLvl w:val="1"/>
    </w:pPr>
    <w:rPr>
      <w:rFonts w:ascii="Arial" w:eastAsiaTheme="majorEastAsia" w:hAnsi="Arial" w:cstheme="majorBidi"/>
      <w:b/>
      <w:bCs/>
      <w:sz w:val="28"/>
      <w:szCs w:val="26"/>
    </w:rPr>
  </w:style>
  <w:style w:type="paragraph" w:styleId="Naslov3">
    <w:name w:val="heading 3"/>
    <w:basedOn w:val="Normal"/>
    <w:next w:val="Normal"/>
    <w:link w:val="Naslov3Char"/>
    <w:uiPriority w:val="9"/>
    <w:unhideWhenUsed/>
    <w:qFormat/>
    <w:rsid w:val="00951AD8"/>
    <w:pPr>
      <w:keepNext/>
      <w:keepLines/>
      <w:spacing w:before="200" w:after="0"/>
      <w:outlineLvl w:val="2"/>
    </w:pPr>
    <w:rPr>
      <w:rFonts w:ascii="Arial" w:eastAsiaTheme="majorEastAsia" w:hAnsi="Arial" w:cstheme="majorBidi"/>
      <w:b/>
      <w:bC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nhideWhenUsed/>
    <w:rsid w:val="00AB4C6E"/>
    <w:pPr>
      <w:spacing w:after="0" w:line="240" w:lineRule="auto"/>
    </w:pPr>
    <w:rPr>
      <w:sz w:val="20"/>
      <w:szCs w:val="20"/>
    </w:rPr>
  </w:style>
  <w:style w:type="character" w:customStyle="1" w:styleId="TekstfusnoteChar">
    <w:name w:val="Tekst fusnote Char"/>
    <w:basedOn w:val="Zadanifontodlomka"/>
    <w:link w:val="Tekstfusnote"/>
    <w:rsid w:val="00AB4C6E"/>
    <w:rPr>
      <w:sz w:val="20"/>
      <w:szCs w:val="20"/>
    </w:rPr>
  </w:style>
  <w:style w:type="character" w:styleId="Referencafusnote">
    <w:name w:val="footnote reference"/>
    <w:basedOn w:val="Zadanifontodlomka"/>
    <w:unhideWhenUsed/>
    <w:rsid w:val="00AB4C6E"/>
    <w:rPr>
      <w:vertAlign w:val="superscript"/>
    </w:rPr>
  </w:style>
  <w:style w:type="paragraph" w:styleId="Odlomakpopisa">
    <w:name w:val="List Paragraph"/>
    <w:basedOn w:val="Normal"/>
    <w:uiPriority w:val="34"/>
    <w:qFormat/>
    <w:rsid w:val="00116473"/>
    <w:pPr>
      <w:ind w:left="720"/>
      <w:contextualSpacing/>
    </w:pPr>
  </w:style>
  <w:style w:type="paragraph" w:customStyle="1" w:styleId="t-9-8">
    <w:name w:val="t-9-8"/>
    <w:basedOn w:val="Normal"/>
    <w:rsid w:val="004568A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237519"/>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237519"/>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98-2">
    <w:name w:val="T-9/8-2"/>
    <w:rsid w:val="002628C2"/>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NewRoman"/>
      <w:sz w:val="19"/>
      <w:szCs w:val="19"/>
      <w:lang w:eastAsia="hr-HR"/>
    </w:rPr>
  </w:style>
  <w:style w:type="paragraph" w:customStyle="1" w:styleId="Clanak">
    <w:name w:val="Clanak"/>
    <w:next w:val="T-98-2"/>
    <w:rsid w:val="002628C2"/>
    <w:pPr>
      <w:widowControl w:val="0"/>
      <w:autoSpaceDE w:val="0"/>
      <w:autoSpaceDN w:val="0"/>
      <w:adjustRightInd w:val="0"/>
      <w:spacing w:before="86" w:after="43" w:line="240" w:lineRule="auto"/>
      <w:jc w:val="center"/>
    </w:pPr>
    <w:rPr>
      <w:rFonts w:ascii="Times-NewRoman" w:eastAsia="Times New Roman" w:hAnsi="Times-NewRoman" w:cs="Times-NewRoman"/>
      <w:sz w:val="19"/>
      <w:szCs w:val="19"/>
      <w:lang w:eastAsia="hr-HR"/>
    </w:rPr>
  </w:style>
  <w:style w:type="paragraph" w:styleId="Bezproreda">
    <w:name w:val="No Spacing"/>
    <w:uiPriority w:val="1"/>
    <w:qFormat/>
    <w:rsid w:val="002628C2"/>
    <w:pPr>
      <w:spacing w:after="0" w:line="240" w:lineRule="auto"/>
    </w:pPr>
    <w:rPr>
      <w:rFonts w:ascii="Arial" w:hAnsi="Arial"/>
      <w:sz w:val="24"/>
      <w:lang w:eastAsia="hr-HR"/>
    </w:rPr>
  </w:style>
  <w:style w:type="paragraph" w:customStyle="1" w:styleId="t-98-20">
    <w:name w:val="t-98-2"/>
    <w:basedOn w:val="Normal"/>
    <w:rsid w:val="008847EC"/>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FC589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FC5893"/>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pt-zadanifontodlomka-000005">
    <w:name w:val="pt-zadanifontodlomka-000005"/>
    <w:basedOn w:val="Zadanifontodlomka"/>
    <w:rsid w:val="00273570"/>
  </w:style>
  <w:style w:type="character" w:customStyle="1" w:styleId="kurziv">
    <w:name w:val="kurziv"/>
    <w:basedOn w:val="Zadanifontodlomka"/>
    <w:rsid w:val="003341A7"/>
  </w:style>
  <w:style w:type="paragraph" w:styleId="Zaglavlje">
    <w:name w:val="header"/>
    <w:basedOn w:val="Normal"/>
    <w:link w:val="ZaglavljeChar"/>
    <w:uiPriority w:val="99"/>
    <w:unhideWhenUsed/>
    <w:rsid w:val="004107A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107A7"/>
  </w:style>
  <w:style w:type="paragraph" w:styleId="Podnoje">
    <w:name w:val="footer"/>
    <w:basedOn w:val="Normal"/>
    <w:link w:val="PodnojeChar"/>
    <w:uiPriority w:val="99"/>
    <w:unhideWhenUsed/>
    <w:rsid w:val="004107A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107A7"/>
  </w:style>
  <w:style w:type="character" w:customStyle="1" w:styleId="FootnoteCharacters">
    <w:name w:val="Footnote Characters"/>
    <w:rsid w:val="00C57425"/>
    <w:rPr>
      <w:vertAlign w:val="superscript"/>
    </w:rPr>
  </w:style>
  <w:style w:type="paragraph" w:styleId="Tekstbalonia">
    <w:name w:val="Balloon Text"/>
    <w:basedOn w:val="Normal"/>
    <w:link w:val="TekstbaloniaChar"/>
    <w:uiPriority w:val="99"/>
    <w:semiHidden/>
    <w:unhideWhenUsed/>
    <w:rsid w:val="00BE35B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E35B9"/>
    <w:rPr>
      <w:rFonts w:ascii="Tahoma" w:hAnsi="Tahoma" w:cs="Tahoma"/>
      <w:sz w:val="16"/>
      <w:szCs w:val="16"/>
    </w:rPr>
  </w:style>
  <w:style w:type="paragraph" w:customStyle="1" w:styleId="box455894">
    <w:name w:val="box_455894"/>
    <w:basedOn w:val="Normal"/>
    <w:rsid w:val="000F6E9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951AD8"/>
    <w:rPr>
      <w:rFonts w:ascii="Arial" w:eastAsiaTheme="majorEastAsia" w:hAnsi="Arial" w:cstheme="majorBidi"/>
      <w:b/>
      <w:bCs/>
      <w:sz w:val="32"/>
      <w:szCs w:val="28"/>
    </w:rPr>
  </w:style>
  <w:style w:type="character" w:customStyle="1" w:styleId="Naslov2Char">
    <w:name w:val="Naslov 2 Char"/>
    <w:basedOn w:val="Zadanifontodlomka"/>
    <w:link w:val="Naslov2"/>
    <w:uiPriority w:val="9"/>
    <w:rsid w:val="00951AD8"/>
    <w:rPr>
      <w:rFonts w:ascii="Arial" w:eastAsiaTheme="majorEastAsia" w:hAnsi="Arial" w:cstheme="majorBidi"/>
      <w:b/>
      <w:bCs/>
      <w:sz w:val="28"/>
      <w:szCs w:val="26"/>
    </w:rPr>
  </w:style>
  <w:style w:type="paragraph" w:styleId="Podnaslov">
    <w:name w:val="Subtitle"/>
    <w:basedOn w:val="Normal"/>
    <w:next w:val="Normal"/>
    <w:link w:val="PodnaslovChar"/>
    <w:uiPriority w:val="11"/>
    <w:qFormat/>
    <w:rsid w:val="00951AD8"/>
    <w:pPr>
      <w:numPr>
        <w:ilvl w:val="1"/>
      </w:numPr>
    </w:pPr>
    <w:rPr>
      <w:rFonts w:ascii="Arial" w:eastAsiaTheme="majorEastAsia" w:hAnsi="Arial" w:cstheme="majorBidi"/>
      <w:b/>
      <w:iCs/>
      <w:spacing w:val="15"/>
      <w:sz w:val="24"/>
      <w:szCs w:val="24"/>
    </w:rPr>
  </w:style>
  <w:style w:type="character" w:customStyle="1" w:styleId="PodnaslovChar">
    <w:name w:val="Podnaslov Char"/>
    <w:basedOn w:val="Zadanifontodlomka"/>
    <w:link w:val="Podnaslov"/>
    <w:uiPriority w:val="11"/>
    <w:rsid w:val="00951AD8"/>
    <w:rPr>
      <w:rFonts w:ascii="Arial" w:eastAsiaTheme="majorEastAsia" w:hAnsi="Arial" w:cstheme="majorBidi"/>
      <w:b/>
      <w:iCs/>
      <w:spacing w:val="15"/>
      <w:sz w:val="24"/>
      <w:szCs w:val="24"/>
    </w:rPr>
  </w:style>
  <w:style w:type="character" w:customStyle="1" w:styleId="Naslov3Char">
    <w:name w:val="Naslov 3 Char"/>
    <w:basedOn w:val="Zadanifontodlomka"/>
    <w:link w:val="Naslov3"/>
    <w:uiPriority w:val="9"/>
    <w:rsid w:val="00951AD8"/>
    <w:rPr>
      <w:rFonts w:ascii="Arial" w:eastAsiaTheme="majorEastAsia" w:hAnsi="Arial" w:cstheme="majorBidi"/>
      <w:b/>
      <w:bCs/>
      <w:sz w:val="24"/>
    </w:rPr>
  </w:style>
  <w:style w:type="paragraph" w:styleId="TOCNaslov">
    <w:name w:val="TOC Heading"/>
    <w:basedOn w:val="Naslov1"/>
    <w:next w:val="Normal"/>
    <w:uiPriority w:val="39"/>
    <w:semiHidden/>
    <w:unhideWhenUsed/>
    <w:qFormat/>
    <w:rsid w:val="00281FC4"/>
    <w:pPr>
      <w:spacing w:line="276" w:lineRule="auto"/>
      <w:outlineLvl w:val="9"/>
    </w:pPr>
    <w:rPr>
      <w:rFonts w:asciiTheme="majorHAnsi" w:hAnsiTheme="majorHAnsi"/>
      <w:color w:val="2E74B5" w:themeColor="accent1" w:themeShade="BF"/>
      <w:sz w:val="28"/>
      <w:lang w:eastAsia="hr-HR"/>
    </w:rPr>
  </w:style>
  <w:style w:type="paragraph" w:styleId="Sadraj1">
    <w:name w:val="toc 1"/>
    <w:basedOn w:val="Normal"/>
    <w:next w:val="Normal"/>
    <w:autoRedefine/>
    <w:uiPriority w:val="39"/>
    <w:unhideWhenUsed/>
    <w:rsid w:val="00281FC4"/>
    <w:pPr>
      <w:spacing w:after="100"/>
    </w:pPr>
  </w:style>
  <w:style w:type="paragraph" w:styleId="Sadraj2">
    <w:name w:val="toc 2"/>
    <w:basedOn w:val="Normal"/>
    <w:next w:val="Normal"/>
    <w:autoRedefine/>
    <w:uiPriority w:val="39"/>
    <w:unhideWhenUsed/>
    <w:rsid w:val="00281FC4"/>
    <w:pPr>
      <w:spacing w:after="100"/>
      <w:ind w:left="220"/>
    </w:pPr>
  </w:style>
  <w:style w:type="paragraph" w:styleId="Sadraj3">
    <w:name w:val="toc 3"/>
    <w:basedOn w:val="Normal"/>
    <w:next w:val="Normal"/>
    <w:autoRedefine/>
    <w:uiPriority w:val="39"/>
    <w:unhideWhenUsed/>
    <w:rsid w:val="00281FC4"/>
    <w:pPr>
      <w:spacing w:after="100"/>
      <w:ind w:left="440"/>
    </w:pPr>
  </w:style>
  <w:style w:type="character" w:styleId="Hiperveza">
    <w:name w:val="Hyperlink"/>
    <w:basedOn w:val="Zadanifontodlomka"/>
    <w:uiPriority w:val="99"/>
    <w:unhideWhenUsed/>
    <w:rsid w:val="00281F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6975">
      <w:bodyDiv w:val="1"/>
      <w:marLeft w:val="0"/>
      <w:marRight w:val="0"/>
      <w:marTop w:val="0"/>
      <w:marBottom w:val="0"/>
      <w:divBdr>
        <w:top w:val="none" w:sz="0" w:space="0" w:color="auto"/>
        <w:left w:val="none" w:sz="0" w:space="0" w:color="auto"/>
        <w:bottom w:val="none" w:sz="0" w:space="0" w:color="auto"/>
        <w:right w:val="none" w:sz="0" w:space="0" w:color="auto"/>
      </w:divBdr>
      <w:divsChild>
        <w:div w:id="466626906">
          <w:marLeft w:val="0"/>
          <w:marRight w:val="0"/>
          <w:marTop w:val="0"/>
          <w:marBottom w:val="0"/>
          <w:divBdr>
            <w:top w:val="none" w:sz="0" w:space="0" w:color="auto"/>
            <w:left w:val="none" w:sz="0" w:space="0" w:color="auto"/>
            <w:bottom w:val="none" w:sz="0" w:space="0" w:color="auto"/>
            <w:right w:val="none" w:sz="0" w:space="0" w:color="auto"/>
          </w:divBdr>
          <w:divsChild>
            <w:div w:id="1592204748">
              <w:marLeft w:val="0"/>
              <w:marRight w:val="0"/>
              <w:marTop w:val="0"/>
              <w:marBottom w:val="0"/>
              <w:divBdr>
                <w:top w:val="none" w:sz="0" w:space="0" w:color="auto"/>
                <w:left w:val="none" w:sz="0" w:space="0" w:color="auto"/>
                <w:bottom w:val="none" w:sz="0" w:space="0" w:color="auto"/>
                <w:right w:val="none" w:sz="0" w:space="0" w:color="auto"/>
              </w:divBdr>
              <w:divsChild>
                <w:div w:id="1923684399">
                  <w:marLeft w:val="0"/>
                  <w:marRight w:val="0"/>
                  <w:marTop w:val="0"/>
                  <w:marBottom w:val="0"/>
                  <w:divBdr>
                    <w:top w:val="none" w:sz="0" w:space="0" w:color="auto"/>
                    <w:left w:val="none" w:sz="0" w:space="0" w:color="auto"/>
                    <w:bottom w:val="none" w:sz="0" w:space="0" w:color="auto"/>
                    <w:right w:val="none" w:sz="0" w:space="0" w:color="auto"/>
                  </w:divBdr>
                  <w:divsChild>
                    <w:div w:id="1906718864">
                      <w:marLeft w:val="0"/>
                      <w:marRight w:val="0"/>
                      <w:marTop w:val="0"/>
                      <w:marBottom w:val="0"/>
                      <w:divBdr>
                        <w:top w:val="single" w:sz="6" w:space="0" w:color="E4E4E6"/>
                        <w:left w:val="none" w:sz="0" w:space="0" w:color="auto"/>
                        <w:bottom w:val="none" w:sz="0" w:space="0" w:color="auto"/>
                        <w:right w:val="none" w:sz="0" w:space="0" w:color="auto"/>
                      </w:divBdr>
                      <w:divsChild>
                        <w:div w:id="131869739">
                          <w:marLeft w:val="0"/>
                          <w:marRight w:val="0"/>
                          <w:marTop w:val="0"/>
                          <w:marBottom w:val="0"/>
                          <w:divBdr>
                            <w:top w:val="single" w:sz="6" w:space="0" w:color="E4E4E6"/>
                            <w:left w:val="none" w:sz="0" w:space="0" w:color="auto"/>
                            <w:bottom w:val="none" w:sz="0" w:space="0" w:color="auto"/>
                            <w:right w:val="none" w:sz="0" w:space="0" w:color="auto"/>
                          </w:divBdr>
                          <w:divsChild>
                            <w:div w:id="159928346">
                              <w:marLeft w:val="0"/>
                              <w:marRight w:val="1500"/>
                              <w:marTop w:val="100"/>
                              <w:marBottom w:val="100"/>
                              <w:divBdr>
                                <w:top w:val="none" w:sz="0" w:space="0" w:color="auto"/>
                                <w:left w:val="none" w:sz="0" w:space="0" w:color="auto"/>
                                <w:bottom w:val="none" w:sz="0" w:space="0" w:color="auto"/>
                                <w:right w:val="none" w:sz="0" w:space="0" w:color="auto"/>
                              </w:divBdr>
                              <w:divsChild>
                                <w:div w:id="2136823010">
                                  <w:marLeft w:val="0"/>
                                  <w:marRight w:val="0"/>
                                  <w:marTop w:val="300"/>
                                  <w:marBottom w:val="450"/>
                                  <w:divBdr>
                                    <w:top w:val="none" w:sz="0" w:space="0" w:color="auto"/>
                                    <w:left w:val="none" w:sz="0" w:space="0" w:color="auto"/>
                                    <w:bottom w:val="none" w:sz="0" w:space="0" w:color="auto"/>
                                    <w:right w:val="none" w:sz="0" w:space="0" w:color="auto"/>
                                  </w:divBdr>
                                  <w:divsChild>
                                    <w:div w:id="1962950894">
                                      <w:marLeft w:val="0"/>
                                      <w:marRight w:val="0"/>
                                      <w:marTop w:val="0"/>
                                      <w:marBottom w:val="0"/>
                                      <w:divBdr>
                                        <w:top w:val="none" w:sz="0" w:space="0" w:color="auto"/>
                                        <w:left w:val="none" w:sz="0" w:space="0" w:color="auto"/>
                                        <w:bottom w:val="none" w:sz="0" w:space="0" w:color="auto"/>
                                        <w:right w:val="none" w:sz="0" w:space="0" w:color="auto"/>
                                      </w:divBdr>
                                      <w:divsChild>
                                        <w:div w:id="1516504087">
                                          <w:marLeft w:val="0"/>
                                          <w:marRight w:val="0"/>
                                          <w:marTop w:val="0"/>
                                          <w:marBottom w:val="0"/>
                                          <w:divBdr>
                                            <w:top w:val="none" w:sz="0" w:space="0" w:color="auto"/>
                                            <w:left w:val="none" w:sz="0" w:space="0" w:color="auto"/>
                                            <w:bottom w:val="none" w:sz="0" w:space="0" w:color="auto"/>
                                            <w:right w:val="none" w:sz="0" w:space="0" w:color="auto"/>
                                          </w:divBdr>
                                          <w:divsChild>
                                            <w:div w:id="1551068894">
                                              <w:marLeft w:val="0"/>
                                              <w:marRight w:val="0"/>
                                              <w:marTop w:val="0"/>
                                              <w:marBottom w:val="0"/>
                                              <w:divBdr>
                                                <w:top w:val="none" w:sz="0" w:space="0" w:color="auto"/>
                                                <w:left w:val="none" w:sz="0" w:space="0" w:color="auto"/>
                                                <w:bottom w:val="none" w:sz="0" w:space="0" w:color="auto"/>
                                                <w:right w:val="none" w:sz="0" w:space="0" w:color="auto"/>
                                              </w:divBdr>
                                              <w:divsChild>
                                                <w:div w:id="14226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057239">
      <w:bodyDiv w:val="1"/>
      <w:marLeft w:val="0"/>
      <w:marRight w:val="0"/>
      <w:marTop w:val="0"/>
      <w:marBottom w:val="0"/>
      <w:divBdr>
        <w:top w:val="none" w:sz="0" w:space="0" w:color="auto"/>
        <w:left w:val="none" w:sz="0" w:space="0" w:color="auto"/>
        <w:bottom w:val="none" w:sz="0" w:space="0" w:color="auto"/>
        <w:right w:val="none" w:sz="0" w:space="0" w:color="auto"/>
      </w:divBdr>
    </w:div>
    <w:div w:id="689527623">
      <w:bodyDiv w:val="1"/>
      <w:marLeft w:val="0"/>
      <w:marRight w:val="0"/>
      <w:marTop w:val="0"/>
      <w:marBottom w:val="0"/>
      <w:divBdr>
        <w:top w:val="none" w:sz="0" w:space="0" w:color="auto"/>
        <w:left w:val="none" w:sz="0" w:space="0" w:color="auto"/>
        <w:bottom w:val="none" w:sz="0" w:space="0" w:color="auto"/>
        <w:right w:val="none" w:sz="0" w:space="0" w:color="auto"/>
      </w:divBdr>
      <w:divsChild>
        <w:div w:id="675428597">
          <w:marLeft w:val="0"/>
          <w:marRight w:val="0"/>
          <w:marTop w:val="0"/>
          <w:marBottom w:val="0"/>
          <w:divBdr>
            <w:top w:val="none" w:sz="0" w:space="0" w:color="auto"/>
            <w:left w:val="none" w:sz="0" w:space="0" w:color="auto"/>
            <w:bottom w:val="none" w:sz="0" w:space="0" w:color="auto"/>
            <w:right w:val="none" w:sz="0" w:space="0" w:color="auto"/>
          </w:divBdr>
          <w:divsChild>
            <w:div w:id="80763521">
              <w:marLeft w:val="0"/>
              <w:marRight w:val="0"/>
              <w:marTop w:val="0"/>
              <w:marBottom w:val="0"/>
              <w:divBdr>
                <w:top w:val="none" w:sz="0" w:space="0" w:color="auto"/>
                <w:left w:val="none" w:sz="0" w:space="0" w:color="auto"/>
                <w:bottom w:val="none" w:sz="0" w:space="0" w:color="auto"/>
                <w:right w:val="none" w:sz="0" w:space="0" w:color="auto"/>
              </w:divBdr>
              <w:divsChild>
                <w:div w:id="1431314691">
                  <w:marLeft w:val="0"/>
                  <w:marRight w:val="0"/>
                  <w:marTop w:val="0"/>
                  <w:marBottom w:val="0"/>
                  <w:divBdr>
                    <w:top w:val="none" w:sz="0" w:space="0" w:color="auto"/>
                    <w:left w:val="none" w:sz="0" w:space="0" w:color="auto"/>
                    <w:bottom w:val="none" w:sz="0" w:space="0" w:color="auto"/>
                    <w:right w:val="none" w:sz="0" w:space="0" w:color="auto"/>
                  </w:divBdr>
                  <w:divsChild>
                    <w:div w:id="928470318">
                      <w:marLeft w:val="0"/>
                      <w:marRight w:val="0"/>
                      <w:marTop w:val="0"/>
                      <w:marBottom w:val="0"/>
                      <w:divBdr>
                        <w:top w:val="single" w:sz="6" w:space="0" w:color="E4E4E6"/>
                        <w:left w:val="none" w:sz="0" w:space="0" w:color="auto"/>
                        <w:bottom w:val="none" w:sz="0" w:space="0" w:color="auto"/>
                        <w:right w:val="none" w:sz="0" w:space="0" w:color="auto"/>
                      </w:divBdr>
                      <w:divsChild>
                        <w:div w:id="295531012">
                          <w:marLeft w:val="0"/>
                          <w:marRight w:val="0"/>
                          <w:marTop w:val="0"/>
                          <w:marBottom w:val="0"/>
                          <w:divBdr>
                            <w:top w:val="single" w:sz="6" w:space="0" w:color="E4E4E6"/>
                            <w:left w:val="none" w:sz="0" w:space="0" w:color="auto"/>
                            <w:bottom w:val="none" w:sz="0" w:space="0" w:color="auto"/>
                            <w:right w:val="none" w:sz="0" w:space="0" w:color="auto"/>
                          </w:divBdr>
                          <w:divsChild>
                            <w:div w:id="1597791215">
                              <w:marLeft w:val="0"/>
                              <w:marRight w:val="1500"/>
                              <w:marTop w:val="100"/>
                              <w:marBottom w:val="100"/>
                              <w:divBdr>
                                <w:top w:val="none" w:sz="0" w:space="0" w:color="auto"/>
                                <w:left w:val="none" w:sz="0" w:space="0" w:color="auto"/>
                                <w:bottom w:val="none" w:sz="0" w:space="0" w:color="auto"/>
                                <w:right w:val="none" w:sz="0" w:space="0" w:color="auto"/>
                              </w:divBdr>
                              <w:divsChild>
                                <w:div w:id="113137005">
                                  <w:marLeft w:val="0"/>
                                  <w:marRight w:val="0"/>
                                  <w:marTop w:val="300"/>
                                  <w:marBottom w:val="450"/>
                                  <w:divBdr>
                                    <w:top w:val="none" w:sz="0" w:space="0" w:color="auto"/>
                                    <w:left w:val="none" w:sz="0" w:space="0" w:color="auto"/>
                                    <w:bottom w:val="none" w:sz="0" w:space="0" w:color="auto"/>
                                    <w:right w:val="none" w:sz="0" w:space="0" w:color="auto"/>
                                  </w:divBdr>
                                  <w:divsChild>
                                    <w:div w:id="282199110">
                                      <w:marLeft w:val="0"/>
                                      <w:marRight w:val="0"/>
                                      <w:marTop w:val="0"/>
                                      <w:marBottom w:val="0"/>
                                      <w:divBdr>
                                        <w:top w:val="none" w:sz="0" w:space="0" w:color="auto"/>
                                        <w:left w:val="none" w:sz="0" w:space="0" w:color="auto"/>
                                        <w:bottom w:val="none" w:sz="0" w:space="0" w:color="auto"/>
                                        <w:right w:val="none" w:sz="0" w:space="0" w:color="auto"/>
                                      </w:divBdr>
                                      <w:divsChild>
                                        <w:div w:id="1377899004">
                                          <w:marLeft w:val="0"/>
                                          <w:marRight w:val="0"/>
                                          <w:marTop w:val="0"/>
                                          <w:marBottom w:val="0"/>
                                          <w:divBdr>
                                            <w:top w:val="none" w:sz="0" w:space="0" w:color="auto"/>
                                            <w:left w:val="none" w:sz="0" w:space="0" w:color="auto"/>
                                            <w:bottom w:val="none" w:sz="0" w:space="0" w:color="auto"/>
                                            <w:right w:val="none" w:sz="0" w:space="0" w:color="auto"/>
                                          </w:divBdr>
                                          <w:divsChild>
                                            <w:div w:id="21279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467219">
      <w:bodyDiv w:val="1"/>
      <w:marLeft w:val="0"/>
      <w:marRight w:val="0"/>
      <w:marTop w:val="0"/>
      <w:marBottom w:val="0"/>
      <w:divBdr>
        <w:top w:val="none" w:sz="0" w:space="0" w:color="auto"/>
        <w:left w:val="none" w:sz="0" w:space="0" w:color="auto"/>
        <w:bottom w:val="none" w:sz="0" w:space="0" w:color="auto"/>
        <w:right w:val="none" w:sz="0" w:space="0" w:color="auto"/>
      </w:divBdr>
    </w:div>
    <w:div w:id="755134016">
      <w:bodyDiv w:val="1"/>
      <w:marLeft w:val="0"/>
      <w:marRight w:val="0"/>
      <w:marTop w:val="0"/>
      <w:marBottom w:val="0"/>
      <w:divBdr>
        <w:top w:val="none" w:sz="0" w:space="0" w:color="auto"/>
        <w:left w:val="none" w:sz="0" w:space="0" w:color="auto"/>
        <w:bottom w:val="none" w:sz="0" w:space="0" w:color="auto"/>
        <w:right w:val="none" w:sz="0" w:space="0" w:color="auto"/>
      </w:divBdr>
    </w:div>
    <w:div w:id="756287370">
      <w:bodyDiv w:val="1"/>
      <w:marLeft w:val="0"/>
      <w:marRight w:val="0"/>
      <w:marTop w:val="0"/>
      <w:marBottom w:val="0"/>
      <w:divBdr>
        <w:top w:val="none" w:sz="0" w:space="0" w:color="auto"/>
        <w:left w:val="none" w:sz="0" w:space="0" w:color="auto"/>
        <w:bottom w:val="none" w:sz="0" w:space="0" w:color="auto"/>
        <w:right w:val="none" w:sz="0" w:space="0" w:color="auto"/>
      </w:divBdr>
      <w:divsChild>
        <w:div w:id="1111701819">
          <w:marLeft w:val="0"/>
          <w:marRight w:val="0"/>
          <w:marTop w:val="0"/>
          <w:marBottom w:val="0"/>
          <w:divBdr>
            <w:top w:val="none" w:sz="0" w:space="0" w:color="auto"/>
            <w:left w:val="none" w:sz="0" w:space="0" w:color="auto"/>
            <w:bottom w:val="none" w:sz="0" w:space="0" w:color="auto"/>
            <w:right w:val="none" w:sz="0" w:space="0" w:color="auto"/>
          </w:divBdr>
          <w:divsChild>
            <w:div w:id="2140342147">
              <w:marLeft w:val="0"/>
              <w:marRight w:val="0"/>
              <w:marTop w:val="0"/>
              <w:marBottom w:val="0"/>
              <w:divBdr>
                <w:top w:val="none" w:sz="0" w:space="0" w:color="auto"/>
                <w:left w:val="none" w:sz="0" w:space="0" w:color="auto"/>
                <w:bottom w:val="none" w:sz="0" w:space="0" w:color="auto"/>
                <w:right w:val="none" w:sz="0" w:space="0" w:color="auto"/>
              </w:divBdr>
              <w:divsChild>
                <w:div w:id="1832212593">
                  <w:marLeft w:val="0"/>
                  <w:marRight w:val="0"/>
                  <w:marTop w:val="0"/>
                  <w:marBottom w:val="0"/>
                  <w:divBdr>
                    <w:top w:val="none" w:sz="0" w:space="0" w:color="auto"/>
                    <w:left w:val="none" w:sz="0" w:space="0" w:color="auto"/>
                    <w:bottom w:val="none" w:sz="0" w:space="0" w:color="auto"/>
                    <w:right w:val="none" w:sz="0" w:space="0" w:color="auto"/>
                  </w:divBdr>
                  <w:divsChild>
                    <w:div w:id="782572575">
                      <w:marLeft w:val="0"/>
                      <w:marRight w:val="0"/>
                      <w:marTop w:val="0"/>
                      <w:marBottom w:val="0"/>
                      <w:divBdr>
                        <w:top w:val="single" w:sz="6" w:space="0" w:color="E4E4E6"/>
                        <w:left w:val="none" w:sz="0" w:space="0" w:color="auto"/>
                        <w:bottom w:val="none" w:sz="0" w:space="0" w:color="auto"/>
                        <w:right w:val="none" w:sz="0" w:space="0" w:color="auto"/>
                      </w:divBdr>
                      <w:divsChild>
                        <w:div w:id="1312635929">
                          <w:marLeft w:val="0"/>
                          <w:marRight w:val="0"/>
                          <w:marTop w:val="0"/>
                          <w:marBottom w:val="0"/>
                          <w:divBdr>
                            <w:top w:val="single" w:sz="6" w:space="0" w:color="E4E4E6"/>
                            <w:left w:val="none" w:sz="0" w:space="0" w:color="auto"/>
                            <w:bottom w:val="none" w:sz="0" w:space="0" w:color="auto"/>
                            <w:right w:val="none" w:sz="0" w:space="0" w:color="auto"/>
                          </w:divBdr>
                          <w:divsChild>
                            <w:div w:id="938607645">
                              <w:marLeft w:val="0"/>
                              <w:marRight w:val="1500"/>
                              <w:marTop w:val="100"/>
                              <w:marBottom w:val="100"/>
                              <w:divBdr>
                                <w:top w:val="none" w:sz="0" w:space="0" w:color="auto"/>
                                <w:left w:val="none" w:sz="0" w:space="0" w:color="auto"/>
                                <w:bottom w:val="none" w:sz="0" w:space="0" w:color="auto"/>
                                <w:right w:val="none" w:sz="0" w:space="0" w:color="auto"/>
                              </w:divBdr>
                              <w:divsChild>
                                <w:div w:id="310214620">
                                  <w:marLeft w:val="0"/>
                                  <w:marRight w:val="0"/>
                                  <w:marTop w:val="300"/>
                                  <w:marBottom w:val="450"/>
                                  <w:divBdr>
                                    <w:top w:val="none" w:sz="0" w:space="0" w:color="auto"/>
                                    <w:left w:val="none" w:sz="0" w:space="0" w:color="auto"/>
                                    <w:bottom w:val="none" w:sz="0" w:space="0" w:color="auto"/>
                                    <w:right w:val="none" w:sz="0" w:space="0" w:color="auto"/>
                                  </w:divBdr>
                                  <w:divsChild>
                                    <w:div w:id="675302713">
                                      <w:marLeft w:val="0"/>
                                      <w:marRight w:val="0"/>
                                      <w:marTop w:val="0"/>
                                      <w:marBottom w:val="0"/>
                                      <w:divBdr>
                                        <w:top w:val="none" w:sz="0" w:space="0" w:color="auto"/>
                                        <w:left w:val="none" w:sz="0" w:space="0" w:color="auto"/>
                                        <w:bottom w:val="none" w:sz="0" w:space="0" w:color="auto"/>
                                        <w:right w:val="none" w:sz="0" w:space="0" w:color="auto"/>
                                      </w:divBdr>
                                      <w:divsChild>
                                        <w:div w:id="35279752">
                                          <w:marLeft w:val="0"/>
                                          <w:marRight w:val="0"/>
                                          <w:marTop w:val="0"/>
                                          <w:marBottom w:val="0"/>
                                          <w:divBdr>
                                            <w:top w:val="none" w:sz="0" w:space="0" w:color="auto"/>
                                            <w:left w:val="none" w:sz="0" w:space="0" w:color="auto"/>
                                            <w:bottom w:val="none" w:sz="0" w:space="0" w:color="auto"/>
                                            <w:right w:val="none" w:sz="0" w:space="0" w:color="auto"/>
                                          </w:divBdr>
                                          <w:divsChild>
                                            <w:div w:id="622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4484411">
      <w:bodyDiv w:val="1"/>
      <w:marLeft w:val="0"/>
      <w:marRight w:val="0"/>
      <w:marTop w:val="0"/>
      <w:marBottom w:val="0"/>
      <w:divBdr>
        <w:top w:val="none" w:sz="0" w:space="0" w:color="auto"/>
        <w:left w:val="none" w:sz="0" w:space="0" w:color="auto"/>
        <w:bottom w:val="none" w:sz="0" w:space="0" w:color="auto"/>
        <w:right w:val="none" w:sz="0" w:space="0" w:color="auto"/>
      </w:divBdr>
    </w:div>
    <w:div w:id="984775102">
      <w:bodyDiv w:val="1"/>
      <w:marLeft w:val="0"/>
      <w:marRight w:val="0"/>
      <w:marTop w:val="0"/>
      <w:marBottom w:val="0"/>
      <w:divBdr>
        <w:top w:val="none" w:sz="0" w:space="0" w:color="auto"/>
        <w:left w:val="none" w:sz="0" w:space="0" w:color="auto"/>
        <w:bottom w:val="none" w:sz="0" w:space="0" w:color="auto"/>
        <w:right w:val="none" w:sz="0" w:space="0" w:color="auto"/>
      </w:divBdr>
      <w:divsChild>
        <w:div w:id="248082565">
          <w:marLeft w:val="0"/>
          <w:marRight w:val="0"/>
          <w:marTop w:val="0"/>
          <w:marBottom w:val="0"/>
          <w:divBdr>
            <w:top w:val="none" w:sz="0" w:space="0" w:color="auto"/>
            <w:left w:val="none" w:sz="0" w:space="0" w:color="auto"/>
            <w:bottom w:val="none" w:sz="0" w:space="0" w:color="auto"/>
            <w:right w:val="none" w:sz="0" w:space="0" w:color="auto"/>
          </w:divBdr>
          <w:divsChild>
            <w:div w:id="21056147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06904295">
      <w:bodyDiv w:val="1"/>
      <w:marLeft w:val="0"/>
      <w:marRight w:val="0"/>
      <w:marTop w:val="0"/>
      <w:marBottom w:val="0"/>
      <w:divBdr>
        <w:top w:val="none" w:sz="0" w:space="0" w:color="auto"/>
        <w:left w:val="none" w:sz="0" w:space="0" w:color="auto"/>
        <w:bottom w:val="none" w:sz="0" w:space="0" w:color="auto"/>
        <w:right w:val="none" w:sz="0" w:space="0" w:color="auto"/>
      </w:divBdr>
      <w:divsChild>
        <w:div w:id="2049142710">
          <w:marLeft w:val="0"/>
          <w:marRight w:val="0"/>
          <w:marTop w:val="0"/>
          <w:marBottom w:val="0"/>
          <w:divBdr>
            <w:top w:val="none" w:sz="0" w:space="0" w:color="auto"/>
            <w:left w:val="none" w:sz="0" w:space="0" w:color="auto"/>
            <w:bottom w:val="none" w:sz="0" w:space="0" w:color="auto"/>
            <w:right w:val="none" w:sz="0" w:space="0" w:color="auto"/>
          </w:divBdr>
          <w:divsChild>
            <w:div w:id="752163011">
              <w:marLeft w:val="0"/>
              <w:marRight w:val="0"/>
              <w:marTop w:val="0"/>
              <w:marBottom w:val="0"/>
              <w:divBdr>
                <w:top w:val="none" w:sz="0" w:space="0" w:color="auto"/>
                <w:left w:val="none" w:sz="0" w:space="0" w:color="auto"/>
                <w:bottom w:val="none" w:sz="0" w:space="0" w:color="auto"/>
                <w:right w:val="none" w:sz="0" w:space="0" w:color="auto"/>
              </w:divBdr>
              <w:divsChild>
                <w:div w:id="122698924">
                  <w:marLeft w:val="0"/>
                  <w:marRight w:val="0"/>
                  <w:marTop w:val="0"/>
                  <w:marBottom w:val="0"/>
                  <w:divBdr>
                    <w:top w:val="none" w:sz="0" w:space="0" w:color="auto"/>
                    <w:left w:val="none" w:sz="0" w:space="0" w:color="auto"/>
                    <w:bottom w:val="none" w:sz="0" w:space="0" w:color="auto"/>
                    <w:right w:val="none" w:sz="0" w:space="0" w:color="auto"/>
                  </w:divBdr>
                  <w:divsChild>
                    <w:div w:id="1991325707">
                      <w:marLeft w:val="0"/>
                      <w:marRight w:val="0"/>
                      <w:marTop w:val="0"/>
                      <w:marBottom w:val="0"/>
                      <w:divBdr>
                        <w:top w:val="single" w:sz="6" w:space="0" w:color="E4E4E6"/>
                        <w:left w:val="none" w:sz="0" w:space="0" w:color="auto"/>
                        <w:bottom w:val="none" w:sz="0" w:space="0" w:color="auto"/>
                        <w:right w:val="none" w:sz="0" w:space="0" w:color="auto"/>
                      </w:divBdr>
                      <w:divsChild>
                        <w:div w:id="521210907">
                          <w:marLeft w:val="0"/>
                          <w:marRight w:val="0"/>
                          <w:marTop w:val="0"/>
                          <w:marBottom w:val="0"/>
                          <w:divBdr>
                            <w:top w:val="single" w:sz="6" w:space="0" w:color="E4E4E6"/>
                            <w:left w:val="none" w:sz="0" w:space="0" w:color="auto"/>
                            <w:bottom w:val="none" w:sz="0" w:space="0" w:color="auto"/>
                            <w:right w:val="none" w:sz="0" w:space="0" w:color="auto"/>
                          </w:divBdr>
                          <w:divsChild>
                            <w:div w:id="903023654">
                              <w:marLeft w:val="0"/>
                              <w:marRight w:val="1500"/>
                              <w:marTop w:val="100"/>
                              <w:marBottom w:val="100"/>
                              <w:divBdr>
                                <w:top w:val="none" w:sz="0" w:space="0" w:color="auto"/>
                                <w:left w:val="none" w:sz="0" w:space="0" w:color="auto"/>
                                <w:bottom w:val="none" w:sz="0" w:space="0" w:color="auto"/>
                                <w:right w:val="none" w:sz="0" w:space="0" w:color="auto"/>
                              </w:divBdr>
                              <w:divsChild>
                                <w:div w:id="614294530">
                                  <w:marLeft w:val="0"/>
                                  <w:marRight w:val="0"/>
                                  <w:marTop w:val="300"/>
                                  <w:marBottom w:val="450"/>
                                  <w:divBdr>
                                    <w:top w:val="none" w:sz="0" w:space="0" w:color="auto"/>
                                    <w:left w:val="none" w:sz="0" w:space="0" w:color="auto"/>
                                    <w:bottom w:val="none" w:sz="0" w:space="0" w:color="auto"/>
                                    <w:right w:val="none" w:sz="0" w:space="0" w:color="auto"/>
                                  </w:divBdr>
                                  <w:divsChild>
                                    <w:div w:id="467936419">
                                      <w:marLeft w:val="0"/>
                                      <w:marRight w:val="0"/>
                                      <w:marTop w:val="0"/>
                                      <w:marBottom w:val="0"/>
                                      <w:divBdr>
                                        <w:top w:val="none" w:sz="0" w:space="0" w:color="auto"/>
                                        <w:left w:val="none" w:sz="0" w:space="0" w:color="auto"/>
                                        <w:bottom w:val="none" w:sz="0" w:space="0" w:color="auto"/>
                                        <w:right w:val="none" w:sz="0" w:space="0" w:color="auto"/>
                                      </w:divBdr>
                                      <w:divsChild>
                                        <w:div w:id="1810634674">
                                          <w:marLeft w:val="0"/>
                                          <w:marRight w:val="0"/>
                                          <w:marTop w:val="0"/>
                                          <w:marBottom w:val="0"/>
                                          <w:divBdr>
                                            <w:top w:val="none" w:sz="0" w:space="0" w:color="auto"/>
                                            <w:left w:val="none" w:sz="0" w:space="0" w:color="auto"/>
                                            <w:bottom w:val="none" w:sz="0" w:space="0" w:color="auto"/>
                                            <w:right w:val="none" w:sz="0" w:space="0" w:color="auto"/>
                                          </w:divBdr>
                                          <w:divsChild>
                                            <w:div w:id="424493497">
                                              <w:marLeft w:val="0"/>
                                              <w:marRight w:val="0"/>
                                              <w:marTop w:val="0"/>
                                              <w:marBottom w:val="0"/>
                                              <w:divBdr>
                                                <w:top w:val="none" w:sz="0" w:space="0" w:color="auto"/>
                                                <w:left w:val="none" w:sz="0" w:space="0" w:color="auto"/>
                                                <w:bottom w:val="none" w:sz="0" w:space="0" w:color="auto"/>
                                                <w:right w:val="none" w:sz="0" w:space="0" w:color="auto"/>
                                              </w:divBdr>
                                              <w:divsChild>
                                                <w:div w:id="9919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161094">
      <w:bodyDiv w:val="1"/>
      <w:marLeft w:val="0"/>
      <w:marRight w:val="0"/>
      <w:marTop w:val="0"/>
      <w:marBottom w:val="0"/>
      <w:divBdr>
        <w:top w:val="none" w:sz="0" w:space="0" w:color="auto"/>
        <w:left w:val="none" w:sz="0" w:space="0" w:color="auto"/>
        <w:bottom w:val="none" w:sz="0" w:space="0" w:color="auto"/>
        <w:right w:val="none" w:sz="0" w:space="0" w:color="auto"/>
      </w:divBdr>
      <w:divsChild>
        <w:div w:id="1268854835">
          <w:marLeft w:val="547"/>
          <w:marRight w:val="0"/>
          <w:marTop w:val="96"/>
          <w:marBottom w:val="0"/>
          <w:divBdr>
            <w:top w:val="none" w:sz="0" w:space="0" w:color="auto"/>
            <w:left w:val="none" w:sz="0" w:space="0" w:color="auto"/>
            <w:bottom w:val="none" w:sz="0" w:space="0" w:color="auto"/>
            <w:right w:val="none" w:sz="0" w:space="0" w:color="auto"/>
          </w:divBdr>
        </w:div>
        <w:div w:id="1275745747">
          <w:marLeft w:val="547"/>
          <w:marRight w:val="0"/>
          <w:marTop w:val="96"/>
          <w:marBottom w:val="0"/>
          <w:divBdr>
            <w:top w:val="none" w:sz="0" w:space="0" w:color="auto"/>
            <w:left w:val="none" w:sz="0" w:space="0" w:color="auto"/>
            <w:bottom w:val="none" w:sz="0" w:space="0" w:color="auto"/>
            <w:right w:val="none" w:sz="0" w:space="0" w:color="auto"/>
          </w:divBdr>
        </w:div>
        <w:div w:id="1628925952">
          <w:marLeft w:val="547"/>
          <w:marRight w:val="0"/>
          <w:marTop w:val="96"/>
          <w:marBottom w:val="0"/>
          <w:divBdr>
            <w:top w:val="none" w:sz="0" w:space="0" w:color="auto"/>
            <w:left w:val="none" w:sz="0" w:space="0" w:color="auto"/>
            <w:bottom w:val="none" w:sz="0" w:space="0" w:color="auto"/>
            <w:right w:val="none" w:sz="0" w:space="0" w:color="auto"/>
          </w:divBdr>
        </w:div>
      </w:divsChild>
    </w:div>
    <w:div w:id="1425759145">
      <w:bodyDiv w:val="1"/>
      <w:marLeft w:val="0"/>
      <w:marRight w:val="0"/>
      <w:marTop w:val="0"/>
      <w:marBottom w:val="0"/>
      <w:divBdr>
        <w:top w:val="none" w:sz="0" w:space="0" w:color="auto"/>
        <w:left w:val="none" w:sz="0" w:space="0" w:color="auto"/>
        <w:bottom w:val="none" w:sz="0" w:space="0" w:color="auto"/>
        <w:right w:val="none" w:sz="0" w:space="0" w:color="auto"/>
      </w:divBdr>
      <w:divsChild>
        <w:div w:id="1942952800">
          <w:marLeft w:val="0"/>
          <w:marRight w:val="0"/>
          <w:marTop w:val="0"/>
          <w:marBottom w:val="0"/>
          <w:divBdr>
            <w:top w:val="none" w:sz="0" w:space="0" w:color="auto"/>
            <w:left w:val="none" w:sz="0" w:space="0" w:color="auto"/>
            <w:bottom w:val="none" w:sz="0" w:space="0" w:color="auto"/>
            <w:right w:val="none" w:sz="0" w:space="0" w:color="auto"/>
          </w:divBdr>
          <w:divsChild>
            <w:div w:id="35704953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43515192">
      <w:bodyDiv w:val="1"/>
      <w:marLeft w:val="0"/>
      <w:marRight w:val="0"/>
      <w:marTop w:val="0"/>
      <w:marBottom w:val="0"/>
      <w:divBdr>
        <w:top w:val="none" w:sz="0" w:space="0" w:color="auto"/>
        <w:left w:val="none" w:sz="0" w:space="0" w:color="auto"/>
        <w:bottom w:val="none" w:sz="0" w:space="0" w:color="auto"/>
        <w:right w:val="none" w:sz="0" w:space="0" w:color="auto"/>
      </w:divBdr>
      <w:divsChild>
        <w:div w:id="991325648">
          <w:marLeft w:val="0"/>
          <w:marRight w:val="0"/>
          <w:marTop w:val="0"/>
          <w:marBottom w:val="0"/>
          <w:divBdr>
            <w:top w:val="none" w:sz="0" w:space="0" w:color="auto"/>
            <w:left w:val="none" w:sz="0" w:space="0" w:color="auto"/>
            <w:bottom w:val="none" w:sz="0" w:space="0" w:color="auto"/>
            <w:right w:val="none" w:sz="0" w:space="0" w:color="auto"/>
          </w:divBdr>
          <w:divsChild>
            <w:div w:id="114997871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668169413">
      <w:bodyDiv w:val="1"/>
      <w:marLeft w:val="0"/>
      <w:marRight w:val="0"/>
      <w:marTop w:val="0"/>
      <w:marBottom w:val="0"/>
      <w:divBdr>
        <w:top w:val="none" w:sz="0" w:space="0" w:color="auto"/>
        <w:left w:val="none" w:sz="0" w:space="0" w:color="auto"/>
        <w:bottom w:val="none" w:sz="0" w:space="0" w:color="auto"/>
        <w:right w:val="none" w:sz="0" w:space="0" w:color="auto"/>
      </w:divBdr>
      <w:divsChild>
        <w:div w:id="408311204">
          <w:marLeft w:val="547"/>
          <w:marRight w:val="0"/>
          <w:marTop w:val="67"/>
          <w:marBottom w:val="0"/>
          <w:divBdr>
            <w:top w:val="none" w:sz="0" w:space="0" w:color="auto"/>
            <w:left w:val="none" w:sz="0" w:space="0" w:color="auto"/>
            <w:bottom w:val="none" w:sz="0" w:space="0" w:color="auto"/>
            <w:right w:val="none" w:sz="0" w:space="0" w:color="auto"/>
          </w:divBdr>
        </w:div>
        <w:div w:id="302270774">
          <w:marLeft w:val="547"/>
          <w:marRight w:val="0"/>
          <w:marTop w:val="67"/>
          <w:marBottom w:val="0"/>
          <w:divBdr>
            <w:top w:val="none" w:sz="0" w:space="0" w:color="auto"/>
            <w:left w:val="none" w:sz="0" w:space="0" w:color="auto"/>
            <w:bottom w:val="none" w:sz="0" w:space="0" w:color="auto"/>
            <w:right w:val="none" w:sz="0" w:space="0" w:color="auto"/>
          </w:divBdr>
        </w:div>
        <w:div w:id="458063518">
          <w:marLeft w:val="547"/>
          <w:marRight w:val="0"/>
          <w:marTop w:val="67"/>
          <w:marBottom w:val="0"/>
          <w:divBdr>
            <w:top w:val="none" w:sz="0" w:space="0" w:color="auto"/>
            <w:left w:val="none" w:sz="0" w:space="0" w:color="auto"/>
            <w:bottom w:val="none" w:sz="0" w:space="0" w:color="auto"/>
            <w:right w:val="none" w:sz="0" w:space="0" w:color="auto"/>
          </w:divBdr>
        </w:div>
        <w:div w:id="648562494">
          <w:marLeft w:val="547"/>
          <w:marRight w:val="0"/>
          <w:marTop w:val="67"/>
          <w:marBottom w:val="0"/>
          <w:divBdr>
            <w:top w:val="none" w:sz="0" w:space="0" w:color="auto"/>
            <w:left w:val="none" w:sz="0" w:space="0" w:color="auto"/>
            <w:bottom w:val="none" w:sz="0" w:space="0" w:color="auto"/>
            <w:right w:val="none" w:sz="0" w:space="0" w:color="auto"/>
          </w:divBdr>
        </w:div>
        <w:div w:id="666253527">
          <w:marLeft w:val="547"/>
          <w:marRight w:val="0"/>
          <w:marTop w:val="67"/>
          <w:marBottom w:val="0"/>
          <w:divBdr>
            <w:top w:val="none" w:sz="0" w:space="0" w:color="auto"/>
            <w:left w:val="none" w:sz="0" w:space="0" w:color="auto"/>
            <w:bottom w:val="none" w:sz="0" w:space="0" w:color="auto"/>
            <w:right w:val="none" w:sz="0" w:space="0" w:color="auto"/>
          </w:divBdr>
        </w:div>
        <w:div w:id="1739941584">
          <w:marLeft w:val="547"/>
          <w:marRight w:val="0"/>
          <w:marTop w:val="67"/>
          <w:marBottom w:val="0"/>
          <w:divBdr>
            <w:top w:val="none" w:sz="0" w:space="0" w:color="auto"/>
            <w:left w:val="none" w:sz="0" w:space="0" w:color="auto"/>
            <w:bottom w:val="none" w:sz="0" w:space="0" w:color="auto"/>
            <w:right w:val="none" w:sz="0" w:space="0" w:color="auto"/>
          </w:divBdr>
        </w:div>
        <w:div w:id="170998717">
          <w:marLeft w:val="547"/>
          <w:marRight w:val="0"/>
          <w:marTop w:val="67"/>
          <w:marBottom w:val="0"/>
          <w:divBdr>
            <w:top w:val="none" w:sz="0" w:space="0" w:color="auto"/>
            <w:left w:val="none" w:sz="0" w:space="0" w:color="auto"/>
            <w:bottom w:val="none" w:sz="0" w:space="0" w:color="auto"/>
            <w:right w:val="none" w:sz="0" w:space="0" w:color="auto"/>
          </w:divBdr>
        </w:div>
        <w:div w:id="278873676">
          <w:marLeft w:val="547"/>
          <w:marRight w:val="0"/>
          <w:marTop w:val="67"/>
          <w:marBottom w:val="0"/>
          <w:divBdr>
            <w:top w:val="none" w:sz="0" w:space="0" w:color="auto"/>
            <w:left w:val="none" w:sz="0" w:space="0" w:color="auto"/>
            <w:bottom w:val="none" w:sz="0" w:space="0" w:color="auto"/>
            <w:right w:val="none" w:sz="0" w:space="0" w:color="auto"/>
          </w:divBdr>
        </w:div>
      </w:divsChild>
    </w:div>
    <w:div w:id="1669673222">
      <w:bodyDiv w:val="1"/>
      <w:marLeft w:val="0"/>
      <w:marRight w:val="0"/>
      <w:marTop w:val="0"/>
      <w:marBottom w:val="0"/>
      <w:divBdr>
        <w:top w:val="none" w:sz="0" w:space="0" w:color="auto"/>
        <w:left w:val="none" w:sz="0" w:space="0" w:color="auto"/>
        <w:bottom w:val="none" w:sz="0" w:space="0" w:color="auto"/>
        <w:right w:val="none" w:sz="0" w:space="0" w:color="auto"/>
      </w:divBdr>
    </w:div>
    <w:div w:id="1777603942">
      <w:bodyDiv w:val="1"/>
      <w:marLeft w:val="0"/>
      <w:marRight w:val="0"/>
      <w:marTop w:val="0"/>
      <w:marBottom w:val="0"/>
      <w:divBdr>
        <w:top w:val="none" w:sz="0" w:space="0" w:color="auto"/>
        <w:left w:val="none" w:sz="0" w:space="0" w:color="auto"/>
        <w:bottom w:val="none" w:sz="0" w:space="0" w:color="auto"/>
        <w:right w:val="none" w:sz="0" w:space="0" w:color="auto"/>
      </w:divBdr>
    </w:div>
    <w:div w:id="1801872854">
      <w:bodyDiv w:val="1"/>
      <w:marLeft w:val="0"/>
      <w:marRight w:val="0"/>
      <w:marTop w:val="0"/>
      <w:marBottom w:val="0"/>
      <w:divBdr>
        <w:top w:val="none" w:sz="0" w:space="0" w:color="auto"/>
        <w:left w:val="none" w:sz="0" w:space="0" w:color="auto"/>
        <w:bottom w:val="none" w:sz="0" w:space="0" w:color="auto"/>
        <w:right w:val="none" w:sz="0" w:space="0" w:color="auto"/>
      </w:divBdr>
      <w:divsChild>
        <w:div w:id="531306764">
          <w:marLeft w:val="0"/>
          <w:marRight w:val="0"/>
          <w:marTop w:val="0"/>
          <w:marBottom w:val="0"/>
          <w:divBdr>
            <w:top w:val="none" w:sz="0" w:space="0" w:color="auto"/>
            <w:left w:val="none" w:sz="0" w:space="0" w:color="auto"/>
            <w:bottom w:val="none" w:sz="0" w:space="0" w:color="auto"/>
            <w:right w:val="none" w:sz="0" w:space="0" w:color="auto"/>
          </w:divBdr>
          <w:divsChild>
            <w:div w:id="106702368">
              <w:marLeft w:val="0"/>
              <w:marRight w:val="0"/>
              <w:marTop w:val="0"/>
              <w:marBottom w:val="0"/>
              <w:divBdr>
                <w:top w:val="none" w:sz="0" w:space="0" w:color="auto"/>
                <w:left w:val="none" w:sz="0" w:space="0" w:color="auto"/>
                <w:bottom w:val="none" w:sz="0" w:space="0" w:color="auto"/>
                <w:right w:val="none" w:sz="0" w:space="0" w:color="auto"/>
              </w:divBdr>
              <w:divsChild>
                <w:div w:id="1863935864">
                  <w:marLeft w:val="0"/>
                  <w:marRight w:val="0"/>
                  <w:marTop w:val="0"/>
                  <w:marBottom w:val="0"/>
                  <w:divBdr>
                    <w:top w:val="none" w:sz="0" w:space="0" w:color="auto"/>
                    <w:left w:val="none" w:sz="0" w:space="0" w:color="auto"/>
                    <w:bottom w:val="none" w:sz="0" w:space="0" w:color="auto"/>
                    <w:right w:val="none" w:sz="0" w:space="0" w:color="auto"/>
                  </w:divBdr>
                  <w:divsChild>
                    <w:div w:id="1315334695">
                      <w:marLeft w:val="0"/>
                      <w:marRight w:val="0"/>
                      <w:marTop w:val="0"/>
                      <w:marBottom w:val="0"/>
                      <w:divBdr>
                        <w:top w:val="single" w:sz="6" w:space="0" w:color="E4E4E6"/>
                        <w:left w:val="none" w:sz="0" w:space="0" w:color="auto"/>
                        <w:bottom w:val="none" w:sz="0" w:space="0" w:color="auto"/>
                        <w:right w:val="none" w:sz="0" w:space="0" w:color="auto"/>
                      </w:divBdr>
                      <w:divsChild>
                        <w:div w:id="1030767846">
                          <w:marLeft w:val="0"/>
                          <w:marRight w:val="0"/>
                          <w:marTop w:val="0"/>
                          <w:marBottom w:val="0"/>
                          <w:divBdr>
                            <w:top w:val="single" w:sz="6" w:space="0" w:color="E4E4E6"/>
                            <w:left w:val="none" w:sz="0" w:space="0" w:color="auto"/>
                            <w:bottom w:val="none" w:sz="0" w:space="0" w:color="auto"/>
                            <w:right w:val="none" w:sz="0" w:space="0" w:color="auto"/>
                          </w:divBdr>
                          <w:divsChild>
                            <w:div w:id="1085614675">
                              <w:marLeft w:val="0"/>
                              <w:marRight w:val="1500"/>
                              <w:marTop w:val="100"/>
                              <w:marBottom w:val="100"/>
                              <w:divBdr>
                                <w:top w:val="none" w:sz="0" w:space="0" w:color="auto"/>
                                <w:left w:val="none" w:sz="0" w:space="0" w:color="auto"/>
                                <w:bottom w:val="none" w:sz="0" w:space="0" w:color="auto"/>
                                <w:right w:val="none" w:sz="0" w:space="0" w:color="auto"/>
                              </w:divBdr>
                              <w:divsChild>
                                <w:div w:id="1150707317">
                                  <w:marLeft w:val="0"/>
                                  <w:marRight w:val="0"/>
                                  <w:marTop w:val="300"/>
                                  <w:marBottom w:val="450"/>
                                  <w:divBdr>
                                    <w:top w:val="none" w:sz="0" w:space="0" w:color="auto"/>
                                    <w:left w:val="none" w:sz="0" w:space="0" w:color="auto"/>
                                    <w:bottom w:val="none" w:sz="0" w:space="0" w:color="auto"/>
                                    <w:right w:val="none" w:sz="0" w:space="0" w:color="auto"/>
                                  </w:divBdr>
                                  <w:divsChild>
                                    <w:div w:id="1903057695">
                                      <w:marLeft w:val="0"/>
                                      <w:marRight w:val="0"/>
                                      <w:marTop w:val="0"/>
                                      <w:marBottom w:val="0"/>
                                      <w:divBdr>
                                        <w:top w:val="none" w:sz="0" w:space="0" w:color="auto"/>
                                        <w:left w:val="none" w:sz="0" w:space="0" w:color="auto"/>
                                        <w:bottom w:val="none" w:sz="0" w:space="0" w:color="auto"/>
                                        <w:right w:val="none" w:sz="0" w:space="0" w:color="auto"/>
                                      </w:divBdr>
                                      <w:divsChild>
                                        <w:div w:id="1453094469">
                                          <w:marLeft w:val="0"/>
                                          <w:marRight w:val="0"/>
                                          <w:marTop w:val="0"/>
                                          <w:marBottom w:val="0"/>
                                          <w:divBdr>
                                            <w:top w:val="none" w:sz="0" w:space="0" w:color="auto"/>
                                            <w:left w:val="none" w:sz="0" w:space="0" w:color="auto"/>
                                            <w:bottom w:val="none" w:sz="0" w:space="0" w:color="auto"/>
                                            <w:right w:val="none" w:sz="0" w:space="0" w:color="auto"/>
                                          </w:divBdr>
                                          <w:divsChild>
                                            <w:div w:id="253831843">
                                              <w:marLeft w:val="0"/>
                                              <w:marRight w:val="0"/>
                                              <w:marTop w:val="0"/>
                                              <w:marBottom w:val="0"/>
                                              <w:divBdr>
                                                <w:top w:val="none" w:sz="0" w:space="0" w:color="auto"/>
                                                <w:left w:val="none" w:sz="0" w:space="0" w:color="auto"/>
                                                <w:bottom w:val="none" w:sz="0" w:space="0" w:color="auto"/>
                                                <w:right w:val="none" w:sz="0" w:space="0" w:color="auto"/>
                                              </w:divBdr>
                                              <w:divsChild>
                                                <w:div w:id="17139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3937477">
      <w:bodyDiv w:val="1"/>
      <w:marLeft w:val="0"/>
      <w:marRight w:val="0"/>
      <w:marTop w:val="0"/>
      <w:marBottom w:val="0"/>
      <w:divBdr>
        <w:top w:val="none" w:sz="0" w:space="0" w:color="auto"/>
        <w:left w:val="none" w:sz="0" w:space="0" w:color="auto"/>
        <w:bottom w:val="none" w:sz="0" w:space="0" w:color="auto"/>
        <w:right w:val="none" w:sz="0" w:space="0" w:color="auto"/>
      </w:divBdr>
    </w:div>
    <w:div w:id="1821845112">
      <w:bodyDiv w:val="1"/>
      <w:marLeft w:val="0"/>
      <w:marRight w:val="0"/>
      <w:marTop w:val="0"/>
      <w:marBottom w:val="0"/>
      <w:divBdr>
        <w:top w:val="none" w:sz="0" w:space="0" w:color="auto"/>
        <w:left w:val="none" w:sz="0" w:space="0" w:color="auto"/>
        <w:bottom w:val="none" w:sz="0" w:space="0" w:color="auto"/>
        <w:right w:val="none" w:sz="0" w:space="0" w:color="auto"/>
      </w:divBdr>
      <w:divsChild>
        <w:div w:id="397287436">
          <w:marLeft w:val="0"/>
          <w:marRight w:val="0"/>
          <w:marTop w:val="0"/>
          <w:marBottom w:val="0"/>
          <w:divBdr>
            <w:top w:val="none" w:sz="0" w:space="0" w:color="auto"/>
            <w:left w:val="none" w:sz="0" w:space="0" w:color="auto"/>
            <w:bottom w:val="none" w:sz="0" w:space="0" w:color="auto"/>
            <w:right w:val="none" w:sz="0" w:space="0" w:color="auto"/>
          </w:divBdr>
          <w:divsChild>
            <w:div w:id="86980508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24351084">
      <w:bodyDiv w:val="1"/>
      <w:marLeft w:val="0"/>
      <w:marRight w:val="0"/>
      <w:marTop w:val="0"/>
      <w:marBottom w:val="0"/>
      <w:divBdr>
        <w:top w:val="none" w:sz="0" w:space="0" w:color="auto"/>
        <w:left w:val="none" w:sz="0" w:space="0" w:color="auto"/>
        <w:bottom w:val="none" w:sz="0" w:space="0" w:color="auto"/>
        <w:right w:val="none" w:sz="0" w:space="0" w:color="auto"/>
      </w:divBdr>
    </w:div>
    <w:div w:id="1844007893">
      <w:bodyDiv w:val="1"/>
      <w:marLeft w:val="0"/>
      <w:marRight w:val="0"/>
      <w:marTop w:val="0"/>
      <w:marBottom w:val="0"/>
      <w:divBdr>
        <w:top w:val="none" w:sz="0" w:space="0" w:color="auto"/>
        <w:left w:val="none" w:sz="0" w:space="0" w:color="auto"/>
        <w:bottom w:val="none" w:sz="0" w:space="0" w:color="auto"/>
        <w:right w:val="none" w:sz="0" w:space="0" w:color="auto"/>
      </w:divBdr>
      <w:divsChild>
        <w:div w:id="1020082553">
          <w:marLeft w:val="0"/>
          <w:marRight w:val="0"/>
          <w:marTop w:val="0"/>
          <w:marBottom w:val="0"/>
          <w:divBdr>
            <w:top w:val="none" w:sz="0" w:space="0" w:color="auto"/>
            <w:left w:val="none" w:sz="0" w:space="0" w:color="auto"/>
            <w:bottom w:val="none" w:sz="0" w:space="0" w:color="auto"/>
            <w:right w:val="none" w:sz="0" w:space="0" w:color="auto"/>
          </w:divBdr>
          <w:divsChild>
            <w:div w:id="461001021">
              <w:marLeft w:val="0"/>
              <w:marRight w:val="0"/>
              <w:marTop w:val="0"/>
              <w:marBottom w:val="0"/>
              <w:divBdr>
                <w:top w:val="none" w:sz="0" w:space="0" w:color="auto"/>
                <w:left w:val="none" w:sz="0" w:space="0" w:color="auto"/>
                <w:bottom w:val="none" w:sz="0" w:space="0" w:color="auto"/>
                <w:right w:val="none" w:sz="0" w:space="0" w:color="auto"/>
              </w:divBdr>
              <w:divsChild>
                <w:div w:id="657806216">
                  <w:marLeft w:val="0"/>
                  <w:marRight w:val="0"/>
                  <w:marTop w:val="0"/>
                  <w:marBottom w:val="0"/>
                  <w:divBdr>
                    <w:top w:val="none" w:sz="0" w:space="0" w:color="auto"/>
                    <w:left w:val="none" w:sz="0" w:space="0" w:color="auto"/>
                    <w:bottom w:val="none" w:sz="0" w:space="0" w:color="auto"/>
                    <w:right w:val="none" w:sz="0" w:space="0" w:color="auto"/>
                  </w:divBdr>
                  <w:divsChild>
                    <w:div w:id="607271077">
                      <w:marLeft w:val="0"/>
                      <w:marRight w:val="0"/>
                      <w:marTop w:val="0"/>
                      <w:marBottom w:val="0"/>
                      <w:divBdr>
                        <w:top w:val="single" w:sz="6" w:space="0" w:color="E4E4E6"/>
                        <w:left w:val="none" w:sz="0" w:space="0" w:color="auto"/>
                        <w:bottom w:val="none" w:sz="0" w:space="0" w:color="auto"/>
                        <w:right w:val="none" w:sz="0" w:space="0" w:color="auto"/>
                      </w:divBdr>
                      <w:divsChild>
                        <w:div w:id="1947155077">
                          <w:marLeft w:val="0"/>
                          <w:marRight w:val="0"/>
                          <w:marTop w:val="0"/>
                          <w:marBottom w:val="0"/>
                          <w:divBdr>
                            <w:top w:val="single" w:sz="6" w:space="0" w:color="E4E4E6"/>
                            <w:left w:val="none" w:sz="0" w:space="0" w:color="auto"/>
                            <w:bottom w:val="none" w:sz="0" w:space="0" w:color="auto"/>
                            <w:right w:val="none" w:sz="0" w:space="0" w:color="auto"/>
                          </w:divBdr>
                          <w:divsChild>
                            <w:div w:id="942805777">
                              <w:marLeft w:val="0"/>
                              <w:marRight w:val="1500"/>
                              <w:marTop w:val="100"/>
                              <w:marBottom w:val="100"/>
                              <w:divBdr>
                                <w:top w:val="none" w:sz="0" w:space="0" w:color="auto"/>
                                <w:left w:val="none" w:sz="0" w:space="0" w:color="auto"/>
                                <w:bottom w:val="none" w:sz="0" w:space="0" w:color="auto"/>
                                <w:right w:val="none" w:sz="0" w:space="0" w:color="auto"/>
                              </w:divBdr>
                              <w:divsChild>
                                <w:div w:id="28839658">
                                  <w:marLeft w:val="0"/>
                                  <w:marRight w:val="0"/>
                                  <w:marTop w:val="300"/>
                                  <w:marBottom w:val="450"/>
                                  <w:divBdr>
                                    <w:top w:val="none" w:sz="0" w:space="0" w:color="auto"/>
                                    <w:left w:val="none" w:sz="0" w:space="0" w:color="auto"/>
                                    <w:bottom w:val="none" w:sz="0" w:space="0" w:color="auto"/>
                                    <w:right w:val="none" w:sz="0" w:space="0" w:color="auto"/>
                                  </w:divBdr>
                                  <w:divsChild>
                                    <w:div w:id="1267348867">
                                      <w:marLeft w:val="0"/>
                                      <w:marRight w:val="0"/>
                                      <w:marTop w:val="0"/>
                                      <w:marBottom w:val="0"/>
                                      <w:divBdr>
                                        <w:top w:val="none" w:sz="0" w:space="0" w:color="auto"/>
                                        <w:left w:val="none" w:sz="0" w:space="0" w:color="auto"/>
                                        <w:bottom w:val="none" w:sz="0" w:space="0" w:color="auto"/>
                                        <w:right w:val="none" w:sz="0" w:space="0" w:color="auto"/>
                                      </w:divBdr>
                                      <w:divsChild>
                                        <w:div w:id="675421368">
                                          <w:marLeft w:val="0"/>
                                          <w:marRight w:val="0"/>
                                          <w:marTop w:val="0"/>
                                          <w:marBottom w:val="0"/>
                                          <w:divBdr>
                                            <w:top w:val="none" w:sz="0" w:space="0" w:color="auto"/>
                                            <w:left w:val="none" w:sz="0" w:space="0" w:color="auto"/>
                                            <w:bottom w:val="none" w:sz="0" w:space="0" w:color="auto"/>
                                            <w:right w:val="none" w:sz="0" w:space="0" w:color="auto"/>
                                          </w:divBdr>
                                          <w:divsChild>
                                            <w:div w:id="1187402612">
                                              <w:marLeft w:val="0"/>
                                              <w:marRight w:val="0"/>
                                              <w:marTop w:val="0"/>
                                              <w:marBottom w:val="0"/>
                                              <w:divBdr>
                                                <w:top w:val="none" w:sz="0" w:space="0" w:color="auto"/>
                                                <w:left w:val="none" w:sz="0" w:space="0" w:color="auto"/>
                                                <w:bottom w:val="none" w:sz="0" w:space="0" w:color="auto"/>
                                                <w:right w:val="none" w:sz="0" w:space="0" w:color="auto"/>
                                              </w:divBdr>
                                              <w:divsChild>
                                                <w:div w:id="12737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231681">
      <w:bodyDiv w:val="1"/>
      <w:marLeft w:val="0"/>
      <w:marRight w:val="0"/>
      <w:marTop w:val="0"/>
      <w:marBottom w:val="0"/>
      <w:divBdr>
        <w:top w:val="none" w:sz="0" w:space="0" w:color="auto"/>
        <w:left w:val="none" w:sz="0" w:space="0" w:color="auto"/>
        <w:bottom w:val="none" w:sz="0" w:space="0" w:color="auto"/>
        <w:right w:val="none" w:sz="0" w:space="0" w:color="auto"/>
      </w:divBdr>
    </w:div>
    <w:div w:id="214264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ak.h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39A3D-C0DF-48C1-8E71-1C7979F0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22802</Words>
  <Characters>129975</Characters>
  <Application>Microsoft Office Word</Application>
  <DocSecurity>0</DocSecurity>
  <Lines>1083</Lines>
  <Paragraphs>304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Helena Černetić</cp:lastModifiedBy>
  <cp:revision>2</cp:revision>
  <cp:lastPrinted>2018-02-20T13:11:00Z</cp:lastPrinted>
  <dcterms:created xsi:type="dcterms:W3CDTF">2018-02-22T12:04:00Z</dcterms:created>
  <dcterms:modified xsi:type="dcterms:W3CDTF">2018-02-22T12:04:00Z</dcterms:modified>
</cp:coreProperties>
</file>